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88C93" w14:textId="68E687AB" w:rsidR="00750E83" w:rsidRPr="00953F59" w:rsidRDefault="00750E83" w:rsidP="00750E83">
      <w:pPr>
        <w:widowControl w:val="0"/>
        <w:adjustRightInd w:val="0"/>
        <w:snapToGrid w:val="0"/>
        <w:rPr>
          <w:sz w:val="24"/>
          <w:szCs w:val="24"/>
          <w:lang w:val="en-US"/>
        </w:rPr>
      </w:pPr>
      <w:r w:rsidRPr="00953F59">
        <w:rPr>
          <w:b/>
          <w:bCs/>
          <w:sz w:val="24"/>
          <w:szCs w:val="24"/>
          <w:lang w:val="en-US"/>
        </w:rPr>
        <w:t xml:space="preserve">Suppl 1. </w:t>
      </w:r>
      <w:r w:rsidRPr="00953F59">
        <w:rPr>
          <w:sz w:val="24"/>
          <w:szCs w:val="24"/>
          <w:lang w:val="en-US"/>
        </w:rPr>
        <w:t>STROBE (Strengthening the Reporting of Observational Studies in Epidemiology) checklist for cross-sectional studies.</w:t>
      </w:r>
    </w:p>
    <w:tbl>
      <w:tblPr>
        <w:tblStyle w:val="afc"/>
        <w:tblW w:w="5000" w:type="pct"/>
        <w:tblLook w:val="0600" w:firstRow="0" w:lastRow="0" w:firstColumn="0" w:lastColumn="0" w:noHBand="1" w:noVBand="1"/>
      </w:tblPr>
      <w:tblGrid>
        <w:gridCol w:w="1054"/>
        <w:gridCol w:w="4411"/>
        <w:gridCol w:w="7424"/>
      </w:tblGrid>
      <w:tr w:rsidR="00946B88" w:rsidRPr="00953F59" w14:paraId="1F739F89" w14:textId="77777777" w:rsidTr="00FC601B">
        <w:trPr>
          <w:trHeight w:val="20"/>
        </w:trPr>
        <w:tc>
          <w:tcPr>
            <w:tcW w:w="409" w:type="pct"/>
          </w:tcPr>
          <w:p w14:paraId="1E558C9B"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Item</w:t>
            </w:r>
          </w:p>
        </w:tc>
        <w:tc>
          <w:tcPr>
            <w:tcW w:w="1711" w:type="pct"/>
          </w:tcPr>
          <w:p w14:paraId="52FFC7D6"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Recommendation</w:t>
            </w:r>
          </w:p>
        </w:tc>
        <w:tc>
          <w:tcPr>
            <w:tcW w:w="2880" w:type="pct"/>
          </w:tcPr>
          <w:p w14:paraId="39A2390E"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Location in the manuscript</w:t>
            </w:r>
          </w:p>
        </w:tc>
      </w:tr>
      <w:tr w:rsidR="00946B88" w:rsidRPr="00953F59" w14:paraId="16A20B34" w14:textId="77777777" w:rsidTr="00FC601B">
        <w:trPr>
          <w:trHeight w:val="20"/>
        </w:trPr>
        <w:tc>
          <w:tcPr>
            <w:tcW w:w="5000" w:type="pct"/>
            <w:gridSpan w:val="3"/>
          </w:tcPr>
          <w:p w14:paraId="31BC0F41"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TITLE AND ABSTRACT</w:t>
            </w:r>
          </w:p>
        </w:tc>
      </w:tr>
      <w:tr w:rsidR="00946B88" w:rsidRPr="00953F59" w14:paraId="779BED16" w14:textId="77777777" w:rsidTr="00FC601B">
        <w:trPr>
          <w:trHeight w:val="20"/>
        </w:trPr>
        <w:tc>
          <w:tcPr>
            <w:tcW w:w="409" w:type="pct"/>
          </w:tcPr>
          <w:p w14:paraId="61949484"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w:t>
            </w:r>
          </w:p>
        </w:tc>
        <w:tc>
          <w:tcPr>
            <w:tcW w:w="1711" w:type="pct"/>
          </w:tcPr>
          <w:p w14:paraId="1C1288DC" w14:textId="77777777" w:rsidR="00946B88" w:rsidRPr="00953F59" w:rsidRDefault="00946B88" w:rsidP="00FC601B">
            <w:pPr>
              <w:widowControl w:val="0"/>
              <w:adjustRightInd w:val="0"/>
              <w:snapToGrid w:val="0"/>
              <w:rPr>
                <w:rFonts w:eastAsiaTheme="minorEastAsia" w:hint="eastAsia"/>
                <w:color w:val="000000" w:themeColor="text1"/>
                <w:sz w:val="24"/>
                <w:szCs w:val="24"/>
                <w:lang w:val="en-US" w:eastAsia="zh-CN"/>
              </w:rPr>
            </w:pPr>
            <w:r w:rsidRPr="00953F59">
              <w:rPr>
                <w:color w:val="000000" w:themeColor="text1"/>
                <w:sz w:val="24"/>
                <w:szCs w:val="24"/>
                <w:lang w:val="en-US"/>
              </w:rPr>
              <w:t>(a) Indicate the study design in the title or abstract using a commonly used term.</w:t>
            </w:r>
            <w:r w:rsidRPr="00953F59">
              <w:rPr>
                <w:color w:val="000000" w:themeColor="text1"/>
                <w:sz w:val="24"/>
                <w:szCs w:val="24"/>
                <w:lang w:val="en-US"/>
              </w:rPr>
              <w:br/>
              <w:t xml:space="preserve"> (b) Provide in the abstract an informative and balanced summary of what was done and what was found.</w:t>
            </w:r>
          </w:p>
        </w:tc>
        <w:tc>
          <w:tcPr>
            <w:tcW w:w="2880" w:type="pct"/>
          </w:tcPr>
          <w:p w14:paraId="0E1931E6" w14:textId="77777777" w:rsidR="00946B88" w:rsidRPr="00953F59" w:rsidRDefault="00946B88" w:rsidP="00FC601B">
            <w:pPr>
              <w:widowControl w:val="0"/>
              <w:adjustRightInd w:val="0"/>
              <w:snapToGrid w:val="0"/>
              <w:rPr>
                <w:rFonts w:eastAsiaTheme="minorEastAsia" w:hint="eastAsia"/>
                <w:color w:val="000000" w:themeColor="text1"/>
                <w:sz w:val="24"/>
                <w:szCs w:val="24"/>
                <w:lang w:val="en-US" w:eastAsia="zh-CN"/>
              </w:rPr>
            </w:pPr>
            <w:r w:rsidRPr="00953F59">
              <w:rPr>
                <w:color w:val="000000" w:themeColor="text1"/>
                <w:sz w:val="24"/>
                <w:szCs w:val="24"/>
                <w:lang w:val="en-US"/>
              </w:rPr>
              <w:t>(a) Title: 'ENDES 2018–2024 analysis'; Abstract: 'analytical cross-sectional study'.</w:t>
            </w:r>
            <w:r w:rsidRPr="00953F59">
              <w:rPr>
                <w:color w:val="000000" w:themeColor="text1"/>
                <w:sz w:val="24"/>
                <w:szCs w:val="24"/>
                <w:lang w:val="en-US"/>
              </w:rPr>
              <w:br/>
              <w:t xml:space="preserve"> (b) Abstract: includes a structured synopsis with background, objective, methods (design, data </w:t>
            </w:r>
            <w:proofErr w:type="gramStart"/>
            <w:r w:rsidRPr="00953F59">
              <w:rPr>
                <w:color w:val="000000" w:themeColor="text1"/>
                <w:sz w:val="24"/>
                <w:szCs w:val="24"/>
                <w:lang w:val="en-US"/>
              </w:rPr>
              <w:t>source</w:t>
            </w:r>
            <w:proofErr w:type="gramEnd"/>
            <w:r w:rsidRPr="00953F59">
              <w:rPr>
                <w:color w:val="000000" w:themeColor="text1"/>
                <w:sz w:val="24"/>
                <w:szCs w:val="24"/>
                <w:lang w:val="en-US"/>
              </w:rPr>
              <w:t xml:space="preserve"> and analysis), main results, and conclusions.</w:t>
            </w:r>
          </w:p>
        </w:tc>
      </w:tr>
      <w:tr w:rsidR="00946B88" w:rsidRPr="00953F59" w14:paraId="3737CF1E" w14:textId="77777777" w:rsidTr="00FC601B">
        <w:trPr>
          <w:trHeight w:val="20"/>
        </w:trPr>
        <w:tc>
          <w:tcPr>
            <w:tcW w:w="5000" w:type="pct"/>
            <w:gridSpan w:val="3"/>
          </w:tcPr>
          <w:p w14:paraId="33E36F76"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INTRODUCTION</w:t>
            </w:r>
          </w:p>
        </w:tc>
      </w:tr>
      <w:tr w:rsidR="00946B88" w:rsidRPr="00953F59" w14:paraId="1DEA0A59" w14:textId="77777777" w:rsidTr="00FC601B">
        <w:trPr>
          <w:trHeight w:val="20"/>
        </w:trPr>
        <w:tc>
          <w:tcPr>
            <w:tcW w:w="409" w:type="pct"/>
          </w:tcPr>
          <w:p w14:paraId="73119626"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2</w:t>
            </w:r>
          </w:p>
        </w:tc>
        <w:tc>
          <w:tcPr>
            <w:tcW w:w="1711" w:type="pct"/>
          </w:tcPr>
          <w:p w14:paraId="04BA315C"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Background/rationale: Explain the scientific background and rationale for the investigation being reported.</w:t>
            </w:r>
          </w:p>
        </w:tc>
        <w:tc>
          <w:tcPr>
            <w:tcW w:w="2880" w:type="pct"/>
          </w:tcPr>
          <w:p w14:paraId="76044C24"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Introduction, paragraphs 1–4: describes BMI limitations, the definition and relevance of the NWCO phenotype, previous evidence on cardiometabolic risk, and the knowledge gap in Peru.</w:t>
            </w:r>
          </w:p>
        </w:tc>
      </w:tr>
      <w:tr w:rsidR="00946B88" w:rsidRPr="00953F59" w14:paraId="61E91E20" w14:textId="77777777" w:rsidTr="00FC601B">
        <w:trPr>
          <w:trHeight w:val="20"/>
        </w:trPr>
        <w:tc>
          <w:tcPr>
            <w:tcW w:w="409" w:type="pct"/>
          </w:tcPr>
          <w:p w14:paraId="369BC92E"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3</w:t>
            </w:r>
          </w:p>
        </w:tc>
        <w:tc>
          <w:tcPr>
            <w:tcW w:w="1711" w:type="pct"/>
          </w:tcPr>
          <w:p w14:paraId="1181C32E"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Objectives: State specific objectives, including any prespecified hypotheses.</w:t>
            </w:r>
          </w:p>
        </w:tc>
        <w:tc>
          <w:tcPr>
            <w:tcW w:w="2880" w:type="pct"/>
          </w:tcPr>
          <w:p w14:paraId="3A296A8B"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Introduction, paragraph 5: four explicit objectives: (a) determine national and departmental NWCO prevalence; (b) characterize geographic distribution using spatial autocorrelation; (c) assess socioeconomic inequalities using absolute and relative indices; (d) analyze temporal trends (2018–2024). No prespecified hypotheses were formulated.</w:t>
            </w:r>
          </w:p>
        </w:tc>
      </w:tr>
      <w:tr w:rsidR="00946B88" w:rsidRPr="00953F59" w14:paraId="6FEE7AF7" w14:textId="77777777" w:rsidTr="00FC601B">
        <w:trPr>
          <w:trHeight w:val="20"/>
        </w:trPr>
        <w:tc>
          <w:tcPr>
            <w:tcW w:w="5000" w:type="pct"/>
            <w:gridSpan w:val="3"/>
          </w:tcPr>
          <w:p w14:paraId="4735A457"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METHODS</w:t>
            </w:r>
          </w:p>
        </w:tc>
      </w:tr>
      <w:tr w:rsidR="00946B88" w:rsidRPr="00953F59" w14:paraId="7120A500" w14:textId="77777777" w:rsidTr="00FC601B">
        <w:trPr>
          <w:trHeight w:val="20"/>
        </w:trPr>
        <w:tc>
          <w:tcPr>
            <w:tcW w:w="409" w:type="pct"/>
          </w:tcPr>
          <w:p w14:paraId="2AF03C02"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4</w:t>
            </w:r>
          </w:p>
        </w:tc>
        <w:tc>
          <w:tcPr>
            <w:tcW w:w="1711" w:type="pct"/>
          </w:tcPr>
          <w:p w14:paraId="5D3AF051"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Study design: Present key elements of the study design early in the paper.</w:t>
            </w:r>
          </w:p>
        </w:tc>
        <w:tc>
          <w:tcPr>
            <w:tcW w:w="2880" w:type="pct"/>
          </w:tcPr>
          <w:p w14:paraId="39223A3A"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Methods, 'Study design': analytical cross-sectional observational study with a descriptive component using secondary data from ENDES 2018–2024. Prepared following STROBE guidelines.</w:t>
            </w:r>
          </w:p>
        </w:tc>
      </w:tr>
      <w:tr w:rsidR="00946B88" w:rsidRPr="00953F59" w14:paraId="2D1DD78E" w14:textId="77777777" w:rsidTr="00FC601B">
        <w:trPr>
          <w:trHeight w:val="20"/>
        </w:trPr>
        <w:tc>
          <w:tcPr>
            <w:tcW w:w="409" w:type="pct"/>
          </w:tcPr>
          <w:p w14:paraId="0C66DA5A"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5</w:t>
            </w:r>
          </w:p>
        </w:tc>
        <w:tc>
          <w:tcPr>
            <w:tcW w:w="1711" w:type="pct"/>
          </w:tcPr>
          <w:p w14:paraId="60D37128"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Setting: Describe the setting, locations, and relevant dates, including periods of recruitment, exposure, follow-up, and data collection.</w:t>
            </w:r>
          </w:p>
        </w:tc>
        <w:tc>
          <w:tcPr>
            <w:tcW w:w="2880" w:type="pct"/>
          </w:tcPr>
          <w:p w14:paraId="2AA8E9CB"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Methods, Data source: ENDES is conducted annually by INEI with technical assistance from the DHS/USAID Program. National representativeness, representativeness for the 24 departments and the Constitutional Province of Callao, and area-level representativeness (urban/rural). Two-stage, probabilistic, stratified design. Period: 2018–2024. Publicly available datasets at www.inei.gob.pe.</w:t>
            </w:r>
          </w:p>
        </w:tc>
      </w:tr>
      <w:tr w:rsidR="00946B88" w:rsidRPr="00953F59" w14:paraId="19505D4F" w14:textId="77777777" w:rsidTr="00FC601B">
        <w:trPr>
          <w:trHeight w:val="20"/>
        </w:trPr>
        <w:tc>
          <w:tcPr>
            <w:tcW w:w="409" w:type="pct"/>
          </w:tcPr>
          <w:p w14:paraId="6CE32F03"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6</w:t>
            </w:r>
          </w:p>
        </w:tc>
        <w:tc>
          <w:tcPr>
            <w:tcW w:w="1711" w:type="pct"/>
          </w:tcPr>
          <w:p w14:paraId="628F6A6B" w14:textId="77777777" w:rsidR="00946B88" w:rsidRPr="00953F59" w:rsidRDefault="00946B88" w:rsidP="00FC601B">
            <w:pPr>
              <w:widowControl w:val="0"/>
              <w:adjustRightInd w:val="0"/>
              <w:snapToGrid w:val="0"/>
              <w:rPr>
                <w:rFonts w:eastAsiaTheme="minorEastAsia" w:hint="eastAsia"/>
                <w:color w:val="000000" w:themeColor="text1"/>
                <w:sz w:val="24"/>
                <w:szCs w:val="24"/>
                <w:lang w:val="en-US" w:eastAsia="zh-CN"/>
              </w:rPr>
            </w:pPr>
            <w:r w:rsidRPr="00953F59">
              <w:rPr>
                <w:color w:val="000000" w:themeColor="text1"/>
                <w:sz w:val="24"/>
                <w:szCs w:val="24"/>
                <w:lang w:val="en-US"/>
              </w:rPr>
              <w:t>(a) Participants: Give the eligibility criteria, and the sources and methods of selection of participants.</w:t>
            </w:r>
            <w:r w:rsidRPr="00953F59">
              <w:rPr>
                <w:color w:val="000000" w:themeColor="text1"/>
                <w:sz w:val="24"/>
                <w:szCs w:val="24"/>
                <w:lang w:val="en-US"/>
              </w:rPr>
              <w:br/>
            </w:r>
            <w:r w:rsidRPr="00953F59">
              <w:rPr>
                <w:color w:val="000000" w:themeColor="text1"/>
                <w:sz w:val="24"/>
                <w:szCs w:val="24"/>
                <w:lang w:val="en-US"/>
              </w:rPr>
              <w:lastRenderedPageBreak/>
              <w:t xml:space="preserve"> (b) For case-control studies, provide the rationale for selecting cases and controls. For cohort studies, state the methods of follow-up.</w:t>
            </w:r>
          </w:p>
        </w:tc>
        <w:tc>
          <w:tcPr>
            <w:tcW w:w="2880" w:type="pct"/>
          </w:tcPr>
          <w:p w14:paraId="32F26D1A" w14:textId="77777777" w:rsidR="00946B88" w:rsidRPr="00953F59" w:rsidRDefault="00946B88" w:rsidP="00FC601B">
            <w:pPr>
              <w:widowControl w:val="0"/>
              <w:adjustRightInd w:val="0"/>
              <w:snapToGrid w:val="0"/>
              <w:rPr>
                <w:b/>
                <w:bCs/>
                <w:color w:val="000000" w:themeColor="text1"/>
                <w:sz w:val="24"/>
                <w:szCs w:val="24"/>
                <w:lang w:val="en-US"/>
              </w:rPr>
            </w:pPr>
            <w:r w:rsidRPr="00953F59">
              <w:rPr>
                <w:color w:val="000000" w:themeColor="text1"/>
                <w:sz w:val="24"/>
                <w:szCs w:val="24"/>
                <w:lang w:val="en-US"/>
              </w:rPr>
              <w:lastRenderedPageBreak/>
              <w:t xml:space="preserve">Methods, Study </w:t>
            </w:r>
            <w:proofErr w:type="gramStart"/>
            <w:r w:rsidRPr="00953F59">
              <w:rPr>
                <w:color w:val="000000" w:themeColor="text1"/>
                <w:sz w:val="24"/>
                <w:szCs w:val="24"/>
                <w:lang w:val="en-US"/>
              </w:rPr>
              <w:t>population</w:t>
            </w:r>
            <w:proofErr w:type="gramEnd"/>
            <w:r w:rsidRPr="00953F59">
              <w:rPr>
                <w:color w:val="000000" w:themeColor="text1"/>
                <w:sz w:val="24"/>
                <w:szCs w:val="24"/>
                <w:lang w:val="en-US"/>
              </w:rPr>
              <w:t xml:space="preserve"> and sample: adults aged ≥18 years with valid measurements of weight, height, and waist circumference, and complete sociodemographic information. Exclusions: underweight (BMI &lt;18.5), </w:t>
            </w:r>
            <w:r w:rsidRPr="00953F59">
              <w:rPr>
                <w:color w:val="000000" w:themeColor="text1"/>
                <w:sz w:val="24"/>
                <w:szCs w:val="24"/>
                <w:lang w:val="en-US"/>
              </w:rPr>
              <w:lastRenderedPageBreak/>
              <w:t>missing data in variables of interest, and implausible anthropometric values. Flow diagram in Supplementary Material 2. Not applicable for case-control or cohort follow-up because this was a cross-sectional study.</w:t>
            </w:r>
          </w:p>
        </w:tc>
      </w:tr>
      <w:tr w:rsidR="00946B88" w:rsidRPr="00953F59" w14:paraId="602A1F04" w14:textId="77777777" w:rsidTr="00FC601B">
        <w:trPr>
          <w:trHeight w:val="20"/>
        </w:trPr>
        <w:tc>
          <w:tcPr>
            <w:tcW w:w="409" w:type="pct"/>
          </w:tcPr>
          <w:p w14:paraId="3B185187"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lastRenderedPageBreak/>
              <w:t>7</w:t>
            </w:r>
          </w:p>
        </w:tc>
        <w:tc>
          <w:tcPr>
            <w:tcW w:w="1711" w:type="pct"/>
          </w:tcPr>
          <w:p w14:paraId="2EFC79DE"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Variables: Clearly define all outcomes, exposures, predictors, potential confounders, and effect modifiers. Give diagnostic criteria, if applicable.</w:t>
            </w:r>
          </w:p>
        </w:tc>
        <w:tc>
          <w:tcPr>
            <w:tcW w:w="2880" w:type="pct"/>
          </w:tcPr>
          <w:p w14:paraId="26DBFA9D"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Methods, 'Variables': Outcome: NWCO (dichotomous), defined as BMI 18.5–24.9 kg/m² plus WC ≥80 cm in women or ≥90 cm in men (International Diabetes Federation criteria for Latin American populations). Sociodemographic variables: sex, age (4 groups), education (4 categories), area of residence, natural region, department, and wealth index (PCA-based quintiles).</w:t>
            </w:r>
          </w:p>
        </w:tc>
      </w:tr>
      <w:tr w:rsidR="00946B88" w:rsidRPr="00953F59" w14:paraId="0CC106CB" w14:textId="77777777" w:rsidTr="00FC601B">
        <w:trPr>
          <w:trHeight w:val="20"/>
        </w:trPr>
        <w:tc>
          <w:tcPr>
            <w:tcW w:w="409" w:type="pct"/>
          </w:tcPr>
          <w:p w14:paraId="4AF4CF51"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8</w:t>
            </w:r>
          </w:p>
        </w:tc>
        <w:tc>
          <w:tcPr>
            <w:tcW w:w="1711" w:type="pct"/>
          </w:tcPr>
          <w:p w14:paraId="2CC241B9"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Data sources/measurement: For each variable of interest, give sources of data and details of methods of assessment (measurement).</w:t>
            </w:r>
          </w:p>
        </w:tc>
        <w:tc>
          <w:tcPr>
            <w:tcW w:w="2880" w:type="pct"/>
          </w:tcPr>
          <w:p w14:paraId="3360343E"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Methods, 'Variables': weight measured with calibrated digital scales (precision 0.1 kg), height with portable stadiometers (0.1 cm), waist circumference measured at the midpoint between the last rib and the iliac crest using non-elastic tapes (0.1 cm) by trained field staff. Wealth index constructed by INEI using principal component analysis.</w:t>
            </w:r>
          </w:p>
        </w:tc>
      </w:tr>
      <w:tr w:rsidR="00946B88" w:rsidRPr="00953F59" w14:paraId="1B37E2E1" w14:textId="77777777" w:rsidTr="00FC601B">
        <w:trPr>
          <w:trHeight w:val="20"/>
        </w:trPr>
        <w:tc>
          <w:tcPr>
            <w:tcW w:w="409" w:type="pct"/>
          </w:tcPr>
          <w:p w14:paraId="642E4C2C"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9</w:t>
            </w:r>
          </w:p>
        </w:tc>
        <w:tc>
          <w:tcPr>
            <w:tcW w:w="1711" w:type="pct"/>
          </w:tcPr>
          <w:p w14:paraId="5F2D1730"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Bias: Describe any efforts to address potential sources of bias.</w:t>
            </w:r>
          </w:p>
        </w:tc>
        <w:tc>
          <w:tcPr>
            <w:tcW w:w="2880" w:type="pct"/>
          </w:tcPr>
          <w:p w14:paraId="5FDF7928" w14:textId="77777777" w:rsidR="00946B88" w:rsidRPr="00953F59" w:rsidRDefault="00946B88" w:rsidP="00FC601B">
            <w:pPr>
              <w:widowControl w:val="0"/>
              <w:adjustRightInd w:val="0"/>
              <w:snapToGrid w:val="0"/>
              <w:rPr>
                <w:color w:val="000000" w:themeColor="text1"/>
                <w:sz w:val="24"/>
                <w:szCs w:val="24"/>
                <w:lang w:val="en-US"/>
              </w:rPr>
            </w:pPr>
            <w:sdt>
              <w:sdtPr>
                <w:rPr>
                  <w:color w:val="000000" w:themeColor="text1"/>
                  <w:sz w:val="24"/>
                  <w:szCs w:val="24"/>
                  <w:lang w:val="en-US"/>
                </w:rPr>
                <w:tag w:val="goog_rdk_53"/>
                <w:id w:val="-959725324"/>
              </w:sdtPr>
              <w:sdtContent/>
            </w:sdt>
            <w:r w:rsidRPr="00953F59">
              <w:rPr>
                <w:color w:val="000000" w:themeColor="text1"/>
                <w:sz w:val="24"/>
                <w:szCs w:val="24"/>
                <w:lang w:val="en-US"/>
              </w:rPr>
              <w:t>Methods, Statistical analysis: use of sampling weights, strata, and clusters to account for the complex design, along with description of each analysis.</w:t>
            </w:r>
          </w:p>
        </w:tc>
      </w:tr>
      <w:tr w:rsidR="00946B88" w:rsidRPr="00953F59" w14:paraId="7E35A528" w14:textId="77777777" w:rsidTr="00FC601B">
        <w:trPr>
          <w:trHeight w:val="20"/>
        </w:trPr>
        <w:tc>
          <w:tcPr>
            <w:tcW w:w="409" w:type="pct"/>
          </w:tcPr>
          <w:p w14:paraId="4A078211"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10</w:t>
            </w:r>
          </w:p>
        </w:tc>
        <w:tc>
          <w:tcPr>
            <w:tcW w:w="1711" w:type="pct"/>
          </w:tcPr>
          <w:p w14:paraId="1D15A616"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Study size: Explain how the study size was arrived at.</w:t>
            </w:r>
          </w:p>
        </w:tc>
        <w:tc>
          <w:tcPr>
            <w:tcW w:w="2880" w:type="pct"/>
          </w:tcPr>
          <w:p w14:paraId="629160A6"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Methods, 'Study population and sample' and Results: all eligible participants from seven ENDES rounds (2018–2024) were included. Total sample: 139,234 adults; normal-weight subsample: 46,493; of which 15,907 had NWCO. Sample size was determined by survey data availability.</w:t>
            </w:r>
          </w:p>
        </w:tc>
      </w:tr>
      <w:tr w:rsidR="00946B88" w:rsidRPr="00953F59" w14:paraId="46E0FEE9" w14:textId="77777777" w:rsidTr="00FC601B">
        <w:trPr>
          <w:trHeight w:val="20"/>
        </w:trPr>
        <w:tc>
          <w:tcPr>
            <w:tcW w:w="409" w:type="pct"/>
          </w:tcPr>
          <w:p w14:paraId="6B0DDC1A"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11</w:t>
            </w:r>
          </w:p>
        </w:tc>
        <w:tc>
          <w:tcPr>
            <w:tcW w:w="1711" w:type="pct"/>
          </w:tcPr>
          <w:p w14:paraId="0DC1B2EE"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Quantitative variables: Explain how quantitative variables were handled in the analyses. If applicable, describe which groupings were chosen and why.</w:t>
            </w:r>
          </w:p>
        </w:tc>
        <w:tc>
          <w:tcPr>
            <w:tcW w:w="2880" w:type="pct"/>
          </w:tcPr>
          <w:p w14:paraId="5AFA1413"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Methods, 'Variables': age categorized into four groups (18–29, 30–44, 45–59, ≥60 years). Wealth index in population quintiles. WC and BMI presented as means with standard deviation. BMI used both continuously (for calculation) and categorically (to define normal weight: 18.5–24.9 kg/m²).</w:t>
            </w:r>
          </w:p>
        </w:tc>
      </w:tr>
      <w:tr w:rsidR="00946B88" w:rsidRPr="00953F59" w14:paraId="5A7FE509" w14:textId="77777777" w:rsidTr="00FC601B">
        <w:trPr>
          <w:trHeight w:val="20"/>
        </w:trPr>
        <w:tc>
          <w:tcPr>
            <w:tcW w:w="409" w:type="pct"/>
          </w:tcPr>
          <w:p w14:paraId="409FFA99"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12</w:t>
            </w:r>
          </w:p>
        </w:tc>
        <w:tc>
          <w:tcPr>
            <w:tcW w:w="1711" w:type="pct"/>
          </w:tcPr>
          <w:p w14:paraId="545DA423"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(a) Statistical methods: Describe all statistical methods, including those used to control for confounding.</w:t>
            </w:r>
            <w:r w:rsidRPr="00953F59">
              <w:rPr>
                <w:color w:val="000000" w:themeColor="text1"/>
                <w:sz w:val="24"/>
                <w:szCs w:val="24"/>
                <w:lang w:val="en-US"/>
              </w:rPr>
              <w:br/>
              <w:t xml:space="preserve"> (b) Describe any methods used to examine subgroups and interactions.</w:t>
            </w:r>
            <w:r w:rsidRPr="00953F59">
              <w:rPr>
                <w:color w:val="000000" w:themeColor="text1"/>
                <w:sz w:val="24"/>
                <w:szCs w:val="24"/>
                <w:lang w:val="en-US"/>
              </w:rPr>
              <w:br/>
              <w:t xml:space="preserve"> (c) Explain how missing data were addressed.</w:t>
            </w:r>
            <w:r w:rsidRPr="00953F59">
              <w:rPr>
                <w:color w:val="000000" w:themeColor="text1"/>
                <w:sz w:val="24"/>
                <w:szCs w:val="24"/>
                <w:lang w:val="en-US"/>
              </w:rPr>
              <w:br/>
              <w:t xml:space="preserve"> (d) Cross-sectional studies: if applicable, describe analytical methods taking account of sampling strategy.</w:t>
            </w:r>
            <w:r w:rsidRPr="00953F59">
              <w:rPr>
                <w:color w:val="000000" w:themeColor="text1"/>
                <w:sz w:val="24"/>
                <w:szCs w:val="24"/>
                <w:lang w:val="en-US"/>
              </w:rPr>
              <w:br/>
              <w:t xml:space="preserve"> (e) Describe any sensitivity analyses.</w:t>
            </w:r>
          </w:p>
        </w:tc>
        <w:tc>
          <w:tcPr>
            <w:tcW w:w="2880" w:type="pct"/>
          </w:tcPr>
          <w:p w14:paraId="276EA36A"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 xml:space="preserve">Methods, Statistical analysis: weighted prevalences with 95% CIs; SII via weighted linear regression on </w:t>
            </w:r>
            <w:proofErr w:type="spellStart"/>
            <w:r w:rsidRPr="00953F59">
              <w:rPr>
                <w:color w:val="000000" w:themeColor="text1"/>
                <w:sz w:val="24"/>
                <w:szCs w:val="24"/>
                <w:lang w:val="en-US"/>
              </w:rPr>
              <w:t>ridit</w:t>
            </w:r>
            <w:proofErr w:type="spellEnd"/>
            <w:r w:rsidRPr="00953F59">
              <w:rPr>
                <w:color w:val="000000" w:themeColor="text1"/>
                <w:sz w:val="24"/>
                <w:szCs w:val="24"/>
                <w:lang w:val="en-US"/>
              </w:rPr>
              <w:t xml:space="preserve"> score; RII via Poisson regression on </w:t>
            </w:r>
            <w:proofErr w:type="spellStart"/>
            <w:r w:rsidRPr="00953F59">
              <w:rPr>
                <w:color w:val="000000" w:themeColor="text1"/>
                <w:sz w:val="24"/>
                <w:szCs w:val="24"/>
                <w:lang w:val="en-US"/>
              </w:rPr>
              <w:t>ridit</w:t>
            </w:r>
            <w:proofErr w:type="spellEnd"/>
            <w:r w:rsidRPr="00953F59">
              <w:rPr>
                <w:color w:val="000000" w:themeColor="text1"/>
                <w:sz w:val="24"/>
                <w:szCs w:val="24"/>
                <w:lang w:val="en-US"/>
              </w:rPr>
              <w:t xml:space="preserve"> score; concentration index and concentration curve; temporal trend via weighted linear regression; spatial analysis using global Moran’s I and LISA with Queen contiguity; ATP III sensitivity analysis. Missing/invalid values were handled by complete-case analysis after predefined exclusions. Survey design accounted for weights, strata, and clusters.</w:t>
            </w:r>
          </w:p>
        </w:tc>
      </w:tr>
      <w:tr w:rsidR="00946B88" w:rsidRPr="00953F59" w14:paraId="60D151A2" w14:textId="77777777" w:rsidTr="00FC601B">
        <w:trPr>
          <w:trHeight w:val="20"/>
        </w:trPr>
        <w:tc>
          <w:tcPr>
            <w:tcW w:w="5000" w:type="pct"/>
            <w:gridSpan w:val="3"/>
          </w:tcPr>
          <w:p w14:paraId="778267B4"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RESULTS</w:t>
            </w:r>
          </w:p>
        </w:tc>
      </w:tr>
      <w:tr w:rsidR="00946B88" w:rsidRPr="00953F59" w14:paraId="03645EEC" w14:textId="77777777" w:rsidTr="00FC601B">
        <w:trPr>
          <w:trHeight w:val="20"/>
        </w:trPr>
        <w:tc>
          <w:tcPr>
            <w:tcW w:w="409" w:type="pct"/>
          </w:tcPr>
          <w:p w14:paraId="5935ADC2"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13</w:t>
            </w:r>
          </w:p>
        </w:tc>
        <w:tc>
          <w:tcPr>
            <w:tcW w:w="1711" w:type="pct"/>
          </w:tcPr>
          <w:p w14:paraId="7B57D99E"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(a) Participants: Report numbers of individuals at each stage of study.</w:t>
            </w:r>
            <w:r w:rsidRPr="00953F59">
              <w:rPr>
                <w:color w:val="000000" w:themeColor="text1"/>
                <w:sz w:val="24"/>
                <w:szCs w:val="24"/>
                <w:lang w:val="en-US"/>
              </w:rPr>
              <w:br/>
              <w:t xml:space="preserve"> (b) Give reasons for non-participation at each stage.</w:t>
            </w:r>
            <w:r w:rsidRPr="00953F59">
              <w:rPr>
                <w:color w:val="000000" w:themeColor="text1"/>
                <w:sz w:val="24"/>
                <w:szCs w:val="24"/>
                <w:lang w:val="en-US"/>
              </w:rPr>
              <w:br/>
              <w:t xml:space="preserve"> (c) Consider use of a flow diagram.</w:t>
            </w:r>
          </w:p>
        </w:tc>
        <w:tc>
          <w:tcPr>
            <w:tcW w:w="2880" w:type="pct"/>
          </w:tcPr>
          <w:p w14:paraId="7444830C"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Results and Supplementary Material 2: 168,411 initial records; 139,234 adults in the analytical sample after exclusions; 46,493 adults with normal weight; 15,907 with NWCO and 30,586 without central obesity. A flow diagram reports sequential exclusions and branching by phenotype.</w:t>
            </w:r>
          </w:p>
        </w:tc>
      </w:tr>
      <w:tr w:rsidR="00946B88" w:rsidRPr="00953F59" w14:paraId="6BB0AE96" w14:textId="77777777" w:rsidTr="00FC601B">
        <w:trPr>
          <w:trHeight w:val="20"/>
        </w:trPr>
        <w:tc>
          <w:tcPr>
            <w:tcW w:w="409" w:type="pct"/>
          </w:tcPr>
          <w:p w14:paraId="3C9A2514"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14</w:t>
            </w:r>
          </w:p>
        </w:tc>
        <w:tc>
          <w:tcPr>
            <w:tcW w:w="1711" w:type="pct"/>
          </w:tcPr>
          <w:p w14:paraId="008D4397"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(a) Descriptive data: Give characteristics of study participants (demographic, clinical, social) and information on exposures and potential confounders.</w:t>
            </w:r>
            <w:r w:rsidRPr="00953F59">
              <w:rPr>
                <w:color w:val="000000" w:themeColor="text1"/>
                <w:sz w:val="24"/>
                <w:szCs w:val="24"/>
                <w:lang w:val="en-US"/>
              </w:rPr>
              <w:br/>
              <w:t xml:space="preserve"> (b) Indicate number of participants with missing data for each variable of interest.</w:t>
            </w:r>
          </w:p>
        </w:tc>
        <w:tc>
          <w:tcPr>
            <w:tcW w:w="2880" w:type="pct"/>
          </w:tcPr>
          <w:p w14:paraId="4666AABB"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(a) Table 1: characteristics by four phenotypes (normal weight without CO, NWCO, OW/OB without CO, OW/OB with CO) including sex, mean age and age groups, wealth index, area of residence, and mean waist circumference and BMI. Table 2: NWCO prevalence stratified by sex, age group, wealth index, area of residence, and natural region.</w:t>
            </w:r>
            <w:r w:rsidRPr="00953F59">
              <w:rPr>
                <w:color w:val="000000" w:themeColor="text1"/>
                <w:sz w:val="24"/>
                <w:szCs w:val="24"/>
                <w:lang w:val="en-US"/>
              </w:rPr>
              <w:br/>
              <w:t xml:space="preserve"> (b) Supplementary Material 2: specific number of exclusions due to missing or invalid data for each variable (WC: 11,275; weight: 7,929; height: 8,305; BP: 704; survey design: 357).</w:t>
            </w:r>
            <w:r w:rsidRPr="00953F59">
              <w:rPr>
                <w:color w:val="000000" w:themeColor="text1"/>
                <w:sz w:val="24"/>
                <w:szCs w:val="24"/>
                <w:lang w:val="en-US"/>
              </w:rPr>
              <w:br/>
              <w:t xml:space="preserve"> </w:t>
            </w:r>
          </w:p>
        </w:tc>
      </w:tr>
      <w:tr w:rsidR="00946B88" w:rsidRPr="00953F59" w14:paraId="0AFA8A20" w14:textId="77777777" w:rsidTr="00FC601B">
        <w:trPr>
          <w:trHeight w:val="20"/>
        </w:trPr>
        <w:tc>
          <w:tcPr>
            <w:tcW w:w="409" w:type="pct"/>
          </w:tcPr>
          <w:p w14:paraId="74268FF3"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15</w:t>
            </w:r>
          </w:p>
        </w:tc>
        <w:tc>
          <w:tcPr>
            <w:tcW w:w="1711" w:type="pct"/>
          </w:tcPr>
          <w:p w14:paraId="066D4701"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Outcome data: Cross-sectional studies: Report numbers of outcome events or summary measures.</w:t>
            </w:r>
          </w:p>
        </w:tc>
        <w:tc>
          <w:tcPr>
            <w:tcW w:w="2880" w:type="pct"/>
          </w:tcPr>
          <w:p w14:paraId="2949B03B"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Results: 15,907 individuals with NWCO among 46,493 adults with normal weight (35.1%; 95% CI: 34.4–35.9%). Corrected departmental prevalences ranged from 24.0% in Huancavelica to 41.9% in Tacna. Annual prevalences and sex-stratified trends are shown in Figure 3.</w:t>
            </w:r>
          </w:p>
        </w:tc>
      </w:tr>
      <w:tr w:rsidR="00946B88" w:rsidRPr="00953F59" w14:paraId="49712DD4" w14:textId="77777777" w:rsidTr="00FC601B">
        <w:trPr>
          <w:trHeight w:val="20"/>
        </w:trPr>
        <w:tc>
          <w:tcPr>
            <w:tcW w:w="409" w:type="pct"/>
          </w:tcPr>
          <w:p w14:paraId="48919410"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16</w:t>
            </w:r>
          </w:p>
        </w:tc>
        <w:tc>
          <w:tcPr>
            <w:tcW w:w="1711" w:type="pct"/>
          </w:tcPr>
          <w:p w14:paraId="13EA0A9F"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Main results: Give unadjusted estimates and, if applicable, confounder-adjusted estimates and their precision (e.g., 95% confidence intervals).</w:t>
            </w:r>
          </w:p>
        </w:tc>
        <w:tc>
          <w:tcPr>
            <w:tcW w:w="2880" w:type="pct"/>
          </w:tcPr>
          <w:p w14:paraId="14A64351"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Results: prevalences with 95% CIs by category (Table 2). Inequality indices with 95% CIs: SII = 0.23 on the proportion scale, RII = 1.93, concentration index = 0.100 (Table 3). Corrected global Moran’s I = 0.167 (p=0.070), with no significant LISA clusters. Temporal trend: annual change = -0.46 pp/year (p=0.172).</w:t>
            </w:r>
          </w:p>
        </w:tc>
      </w:tr>
      <w:tr w:rsidR="00946B88" w:rsidRPr="00953F59" w14:paraId="70F1E1EA" w14:textId="77777777" w:rsidTr="00FC601B">
        <w:trPr>
          <w:trHeight w:val="20"/>
        </w:trPr>
        <w:tc>
          <w:tcPr>
            <w:tcW w:w="409" w:type="pct"/>
          </w:tcPr>
          <w:p w14:paraId="15F7E8B9"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17</w:t>
            </w:r>
          </w:p>
        </w:tc>
        <w:tc>
          <w:tcPr>
            <w:tcW w:w="1711" w:type="pct"/>
          </w:tcPr>
          <w:p w14:paraId="62A7B85A"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Other analyses: Report other analyses done (e.g., analyses of subgroups, interactions, sensitivity).</w:t>
            </w:r>
          </w:p>
        </w:tc>
        <w:tc>
          <w:tcPr>
            <w:tcW w:w="2880" w:type="pct"/>
          </w:tcPr>
          <w:p w14:paraId="575848E8"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Results: classification into four weight/central obesity phenotypes (Table 1); sex-stratified temporal trend in the main Figure 3; ATP III temporal sensitivity analysis (Supplementary Material 3); corrected Moran scatter plot (Supplementary Material 4); ATP III sensitivity tables (Supplementary Materials 5–6); concentration curve (Figure 2).</w:t>
            </w:r>
          </w:p>
        </w:tc>
      </w:tr>
      <w:tr w:rsidR="00946B88" w:rsidRPr="00953F59" w14:paraId="3F1A73BA" w14:textId="77777777" w:rsidTr="00FC601B">
        <w:trPr>
          <w:trHeight w:val="20"/>
        </w:trPr>
        <w:tc>
          <w:tcPr>
            <w:tcW w:w="5000" w:type="pct"/>
            <w:gridSpan w:val="3"/>
          </w:tcPr>
          <w:p w14:paraId="0A74D4F5"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DISCUSSION</w:t>
            </w:r>
          </w:p>
        </w:tc>
      </w:tr>
      <w:tr w:rsidR="00946B88" w:rsidRPr="00953F59" w14:paraId="2C39C1D1" w14:textId="77777777" w:rsidTr="00FC601B">
        <w:trPr>
          <w:trHeight w:val="20"/>
        </w:trPr>
        <w:tc>
          <w:tcPr>
            <w:tcW w:w="409" w:type="pct"/>
          </w:tcPr>
          <w:p w14:paraId="74D66D4D"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18</w:t>
            </w:r>
          </w:p>
        </w:tc>
        <w:tc>
          <w:tcPr>
            <w:tcW w:w="1711" w:type="pct"/>
          </w:tcPr>
          <w:p w14:paraId="612C0ECB"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Key results: Summarize key results with reference to study objectives.</w:t>
            </w:r>
          </w:p>
        </w:tc>
        <w:tc>
          <w:tcPr>
            <w:tcW w:w="2880" w:type="pct"/>
          </w:tcPr>
          <w:p w14:paraId="72406A45"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 xml:space="preserve">Discussion, Main findings: one in three normal-weight adults has NWCO (35.1%); female predominance; concentration among higher wealth groups; descriptive geographic heterogeneity without statistically significant spatial clustering after correction of the departmental estimand; </w:t>
            </w:r>
            <w:proofErr w:type="gramStart"/>
            <w:r w:rsidRPr="00953F59">
              <w:rPr>
                <w:color w:val="000000" w:themeColor="text1"/>
                <w:sz w:val="24"/>
                <w:szCs w:val="24"/>
                <w:lang w:val="en-US"/>
              </w:rPr>
              <w:t>no</w:t>
            </w:r>
            <w:proofErr w:type="gramEnd"/>
            <w:r w:rsidRPr="00953F59">
              <w:rPr>
                <w:color w:val="000000" w:themeColor="text1"/>
                <w:sz w:val="24"/>
                <w:szCs w:val="24"/>
                <w:lang w:val="en-US"/>
              </w:rPr>
              <w:t xml:space="preserve"> statistically significant temporal trend.</w:t>
            </w:r>
          </w:p>
        </w:tc>
      </w:tr>
      <w:tr w:rsidR="00946B88" w:rsidRPr="00953F59" w14:paraId="310AC0F1" w14:textId="77777777" w:rsidTr="00FC601B">
        <w:trPr>
          <w:trHeight w:val="20"/>
        </w:trPr>
        <w:tc>
          <w:tcPr>
            <w:tcW w:w="409" w:type="pct"/>
          </w:tcPr>
          <w:p w14:paraId="3ECD465E"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19</w:t>
            </w:r>
          </w:p>
        </w:tc>
        <w:tc>
          <w:tcPr>
            <w:tcW w:w="1711" w:type="pct"/>
          </w:tcPr>
          <w:p w14:paraId="64115D03"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Limitations: Discuss limitations of the study, taking into account sources of potential bias or imprecision. Discuss both direction and magnitude of any potential bias.</w:t>
            </w:r>
          </w:p>
        </w:tc>
        <w:tc>
          <w:tcPr>
            <w:tcW w:w="2880" w:type="pct"/>
          </w:tcPr>
          <w:p w14:paraId="092A2644"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Discussion, 'Limitations': (1) inter-measurer variability in WC and inability to distinguish visceral from subcutaneous fat (would require CT/MRI); (2) IDF cutoffs for Latin American populations not specifically validated in Peru; (3) department-level analysis may mask within-department heterogeneity; (4) exclusion of underweight individuals limits generalizability.</w:t>
            </w:r>
          </w:p>
        </w:tc>
      </w:tr>
      <w:tr w:rsidR="00946B88" w:rsidRPr="00953F59" w14:paraId="3E460405" w14:textId="77777777" w:rsidTr="00FC601B">
        <w:trPr>
          <w:trHeight w:val="20"/>
        </w:trPr>
        <w:tc>
          <w:tcPr>
            <w:tcW w:w="409" w:type="pct"/>
          </w:tcPr>
          <w:p w14:paraId="0498A6E9"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20</w:t>
            </w:r>
          </w:p>
        </w:tc>
        <w:tc>
          <w:tcPr>
            <w:tcW w:w="1711" w:type="pct"/>
          </w:tcPr>
          <w:p w14:paraId="6F47E573"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Interpretation: Give a cautious overall interpretation of results considering objectives, limitations, multiplicity of analyses, results from similar studies, and other relevant evidence.</w:t>
            </w:r>
          </w:p>
        </w:tc>
        <w:tc>
          <w:tcPr>
            <w:tcW w:w="2880" w:type="pct"/>
          </w:tcPr>
          <w:p w14:paraId="343A5E72"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Discussion, 'Comparison with other studies' and 'Implications': comparison with Sahakyan et al. (NHANES III), Jin et al. Discussion of sexual dimorphism (biological differences in fat distribution and potential contribution of cutoffs). Interpretation of the pro-rich gradient and contrast with temporal stability of NWCO vs the increase in general obesity post–COVID-19. Contextual determinants of spatial patterns (diet, urbanization, occupational physical activity).</w:t>
            </w:r>
          </w:p>
        </w:tc>
      </w:tr>
      <w:tr w:rsidR="00946B88" w:rsidRPr="00953F59" w14:paraId="163750E6" w14:textId="77777777" w:rsidTr="00FC601B">
        <w:trPr>
          <w:trHeight w:val="20"/>
        </w:trPr>
        <w:tc>
          <w:tcPr>
            <w:tcW w:w="409" w:type="pct"/>
          </w:tcPr>
          <w:p w14:paraId="1F150E08"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21</w:t>
            </w:r>
          </w:p>
        </w:tc>
        <w:tc>
          <w:tcPr>
            <w:tcW w:w="1711" w:type="pct"/>
          </w:tcPr>
          <w:p w14:paraId="05C8170F" w14:textId="77777777" w:rsidR="00946B88" w:rsidRPr="00953F59" w:rsidRDefault="00946B88" w:rsidP="00FC601B">
            <w:pPr>
              <w:widowControl w:val="0"/>
              <w:adjustRightInd w:val="0"/>
              <w:snapToGrid w:val="0"/>
              <w:rPr>
                <w:color w:val="000000" w:themeColor="text1"/>
                <w:sz w:val="24"/>
                <w:szCs w:val="24"/>
                <w:lang w:val="en-US"/>
              </w:rPr>
            </w:pPr>
            <w:proofErr w:type="spellStart"/>
            <w:r w:rsidRPr="00953F59">
              <w:rPr>
                <w:color w:val="000000" w:themeColor="text1"/>
                <w:sz w:val="24"/>
                <w:szCs w:val="24"/>
                <w:lang w:val="en-US"/>
              </w:rPr>
              <w:t>Generalisability</w:t>
            </w:r>
            <w:proofErr w:type="spellEnd"/>
            <w:r w:rsidRPr="00953F59">
              <w:rPr>
                <w:color w:val="000000" w:themeColor="text1"/>
                <w:sz w:val="24"/>
                <w:szCs w:val="24"/>
                <w:lang w:val="en-US"/>
              </w:rPr>
              <w:t xml:space="preserve">: Discuss the </w:t>
            </w:r>
            <w:proofErr w:type="spellStart"/>
            <w:r w:rsidRPr="00953F59">
              <w:rPr>
                <w:color w:val="000000" w:themeColor="text1"/>
                <w:sz w:val="24"/>
                <w:szCs w:val="24"/>
                <w:lang w:val="en-US"/>
              </w:rPr>
              <w:t>generalisability</w:t>
            </w:r>
            <w:proofErr w:type="spellEnd"/>
            <w:r w:rsidRPr="00953F59">
              <w:rPr>
                <w:color w:val="000000" w:themeColor="text1"/>
                <w:sz w:val="24"/>
                <w:szCs w:val="24"/>
                <w:lang w:val="en-US"/>
              </w:rPr>
              <w:t xml:space="preserve"> (external validity) of the study results.</w:t>
            </w:r>
          </w:p>
        </w:tc>
        <w:tc>
          <w:tcPr>
            <w:tcW w:w="2880" w:type="pct"/>
          </w:tcPr>
          <w:p w14:paraId="68295F3B"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 xml:space="preserve">Discussion: the national and departmental representativeness of ENDES is noted as a strength. It is acknowledged that IDF cutoffs for Latin American populations may limit comparability with studies using other criteria. Results are </w:t>
            </w:r>
            <w:proofErr w:type="spellStart"/>
            <w:r w:rsidRPr="00953F59">
              <w:rPr>
                <w:color w:val="000000" w:themeColor="text1"/>
                <w:sz w:val="24"/>
                <w:szCs w:val="24"/>
                <w:lang w:val="en-US"/>
              </w:rPr>
              <w:t>generalisable</w:t>
            </w:r>
            <w:proofErr w:type="spellEnd"/>
            <w:r w:rsidRPr="00953F59">
              <w:rPr>
                <w:color w:val="000000" w:themeColor="text1"/>
                <w:sz w:val="24"/>
                <w:szCs w:val="24"/>
                <w:lang w:val="en-US"/>
              </w:rPr>
              <w:t xml:space="preserve"> to Peruvian adults aged ≥18 years with normal weight, excluding underweight individuals.</w:t>
            </w:r>
          </w:p>
        </w:tc>
      </w:tr>
      <w:tr w:rsidR="00946B88" w:rsidRPr="00953F59" w14:paraId="74104811" w14:textId="77777777" w:rsidTr="00FC601B">
        <w:trPr>
          <w:trHeight w:val="20"/>
        </w:trPr>
        <w:tc>
          <w:tcPr>
            <w:tcW w:w="5000" w:type="pct"/>
            <w:gridSpan w:val="3"/>
          </w:tcPr>
          <w:p w14:paraId="632741B2"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OTHER INFORMATION</w:t>
            </w:r>
          </w:p>
        </w:tc>
      </w:tr>
      <w:tr w:rsidR="00946B88" w:rsidRPr="00953F59" w14:paraId="279191DE" w14:textId="77777777" w:rsidTr="00FC601B">
        <w:trPr>
          <w:trHeight w:val="20"/>
        </w:trPr>
        <w:tc>
          <w:tcPr>
            <w:tcW w:w="409" w:type="pct"/>
          </w:tcPr>
          <w:p w14:paraId="2FA99E6D" w14:textId="77777777" w:rsidR="00946B88" w:rsidRPr="00953F59" w:rsidRDefault="00946B88" w:rsidP="00FC601B">
            <w:pPr>
              <w:widowControl w:val="0"/>
              <w:adjustRightInd w:val="0"/>
              <w:snapToGrid w:val="0"/>
              <w:rPr>
                <w:b/>
                <w:bCs/>
                <w:color w:val="000000" w:themeColor="text1"/>
                <w:sz w:val="24"/>
                <w:szCs w:val="24"/>
                <w:lang w:val="en-US"/>
              </w:rPr>
            </w:pPr>
            <w:r w:rsidRPr="00953F59">
              <w:rPr>
                <w:b/>
                <w:bCs/>
                <w:color w:val="000000" w:themeColor="text1"/>
                <w:sz w:val="24"/>
                <w:szCs w:val="24"/>
                <w:lang w:val="en-US"/>
              </w:rPr>
              <w:t>22</w:t>
            </w:r>
          </w:p>
        </w:tc>
        <w:tc>
          <w:tcPr>
            <w:tcW w:w="1711" w:type="pct"/>
          </w:tcPr>
          <w:p w14:paraId="192F84F5"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Funding: Give the sources of funding and the role of the funders for the present study.</w:t>
            </w:r>
          </w:p>
        </w:tc>
        <w:tc>
          <w:tcPr>
            <w:tcW w:w="2880" w:type="pct"/>
          </w:tcPr>
          <w:p w14:paraId="4F0C57CF" w14:textId="77777777" w:rsidR="00946B88" w:rsidRPr="00953F59" w:rsidRDefault="00946B88" w:rsidP="00FC601B">
            <w:pPr>
              <w:widowControl w:val="0"/>
              <w:adjustRightInd w:val="0"/>
              <w:snapToGrid w:val="0"/>
              <w:rPr>
                <w:color w:val="000000" w:themeColor="text1"/>
                <w:sz w:val="24"/>
                <w:szCs w:val="24"/>
                <w:lang w:val="en-US"/>
              </w:rPr>
            </w:pPr>
            <w:r w:rsidRPr="00953F59">
              <w:rPr>
                <w:color w:val="000000" w:themeColor="text1"/>
                <w:sz w:val="24"/>
                <w:szCs w:val="24"/>
                <w:lang w:val="en-US"/>
              </w:rPr>
              <w:t>Funding information is reported in the Declarations section. Article processing charges, if applicable upon acceptance, will be covered by the Vice-Rectorate for Research, Universidad Nacional Toribio Rodríguez de Mendoza de Amazonas, which had no role in study design, analysis, or manuscript preparation.</w:t>
            </w:r>
          </w:p>
        </w:tc>
      </w:tr>
    </w:tbl>
    <w:p w14:paraId="25D801DF" w14:textId="77777777" w:rsidR="00750E83" w:rsidRDefault="00750E83" w:rsidP="00750E83">
      <w:pPr>
        <w:widowControl w:val="0"/>
        <w:adjustRightInd w:val="0"/>
        <w:snapToGrid w:val="0"/>
        <w:rPr>
          <w:rFonts w:eastAsiaTheme="minorEastAsia"/>
          <w:sz w:val="24"/>
          <w:szCs w:val="24"/>
          <w:lang w:val="en-US" w:eastAsia="zh-CN"/>
        </w:rPr>
      </w:pPr>
    </w:p>
    <w:p w14:paraId="45EBAB11" w14:textId="77777777" w:rsidR="00946B88" w:rsidRDefault="00946B88" w:rsidP="00750E83">
      <w:pPr>
        <w:widowControl w:val="0"/>
        <w:adjustRightInd w:val="0"/>
        <w:snapToGrid w:val="0"/>
        <w:rPr>
          <w:rFonts w:eastAsiaTheme="minorEastAsia"/>
          <w:sz w:val="24"/>
          <w:szCs w:val="24"/>
          <w:lang w:val="en-US" w:eastAsia="zh-CN"/>
        </w:rPr>
      </w:pPr>
    </w:p>
    <w:p w14:paraId="432BE9BC" w14:textId="77777777" w:rsidR="00953F59" w:rsidRPr="00953F59" w:rsidRDefault="00953F59" w:rsidP="00946B88">
      <w:pPr>
        <w:widowControl w:val="0"/>
        <w:adjustRightInd w:val="0"/>
        <w:snapToGrid w:val="0"/>
        <w:rPr>
          <w:rFonts w:eastAsiaTheme="minorEastAsia" w:hint="eastAsia"/>
          <w:sz w:val="24"/>
          <w:szCs w:val="24"/>
          <w:lang w:val="en-US" w:eastAsia="zh-CN"/>
        </w:rPr>
      </w:pPr>
    </w:p>
    <w:sectPr w:rsidR="00953F59" w:rsidRPr="00953F59" w:rsidSect="00953F59">
      <w:pgSz w:w="16838" w:h="11906" w:orient="landscape"/>
      <w:pgMar w:top="1701" w:right="1954" w:bottom="1701"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E83"/>
    <w:rsid w:val="000B552F"/>
    <w:rsid w:val="00164869"/>
    <w:rsid w:val="001F36C2"/>
    <w:rsid w:val="004841E4"/>
    <w:rsid w:val="004947C7"/>
    <w:rsid w:val="00531D51"/>
    <w:rsid w:val="00750E83"/>
    <w:rsid w:val="007B111E"/>
    <w:rsid w:val="00841C16"/>
    <w:rsid w:val="008A4D24"/>
    <w:rsid w:val="00922E90"/>
    <w:rsid w:val="00946B88"/>
    <w:rsid w:val="00953F59"/>
    <w:rsid w:val="009E48E0"/>
    <w:rsid w:val="00A6288E"/>
    <w:rsid w:val="00CC3949"/>
    <w:rsid w:val="00D673D8"/>
    <w:rsid w:val="00D976D7"/>
    <w:rsid w:val="00DC3868"/>
    <w:rsid w:val="00E74A70"/>
    <w:rsid w:val="00F57F6A"/>
    <w:rsid w:val="00F818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9A8A"/>
  <w15:chartTrackingRefBased/>
  <w15:docId w15:val="{63AAA293-06FD-4E9C-8094-590960BA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E83"/>
    <w:pPr>
      <w:widowControl/>
      <w:jc w:val="left"/>
    </w:pPr>
    <w:rPr>
      <w:rFonts w:ascii="Times New Roman" w:eastAsia="Times New Roman" w:hAnsi="Times New Roman" w:cs="Times New Roman"/>
      <w:kern w:val="0"/>
      <w:sz w:val="20"/>
      <w:szCs w:val="20"/>
      <w:lang w:val="es-PE" w:eastAsia="es-PE"/>
    </w:rPr>
  </w:style>
  <w:style w:type="paragraph" w:styleId="1">
    <w:name w:val="heading 1"/>
    <w:basedOn w:val="a"/>
    <w:next w:val="a"/>
    <w:link w:val="10"/>
    <w:uiPriority w:val="9"/>
    <w:qFormat/>
    <w:rsid w:val="00E74A70"/>
    <w:pPr>
      <w:keepNext/>
      <w:keepLines/>
      <w:widowControl w:val="0"/>
      <w:spacing w:before="360" w:after="80"/>
      <w:jc w:val="both"/>
      <w:outlineLvl w:val="0"/>
    </w:pPr>
    <w:rPr>
      <w:rFonts w:asciiTheme="majorHAnsi" w:eastAsiaTheme="majorEastAsia" w:hAnsiTheme="majorHAnsi" w:cstheme="majorBidi"/>
      <w:color w:val="0F4761" w:themeColor="accent1" w:themeShade="BF"/>
      <w:kern w:val="2"/>
      <w:sz w:val="40"/>
      <w:szCs w:val="40"/>
      <w:lang w:val="en-US" w:eastAsia="zh-CN"/>
    </w:rPr>
  </w:style>
  <w:style w:type="paragraph" w:styleId="2">
    <w:name w:val="heading 2"/>
    <w:basedOn w:val="a"/>
    <w:next w:val="a"/>
    <w:link w:val="20"/>
    <w:uiPriority w:val="9"/>
    <w:semiHidden/>
    <w:unhideWhenUsed/>
    <w:qFormat/>
    <w:rsid w:val="00E74A70"/>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32"/>
      <w:szCs w:val="32"/>
      <w:lang w:val="en-US" w:eastAsia="zh-CN"/>
    </w:rPr>
  </w:style>
  <w:style w:type="paragraph" w:styleId="3">
    <w:name w:val="heading 3"/>
    <w:basedOn w:val="a"/>
    <w:next w:val="a"/>
    <w:link w:val="30"/>
    <w:uiPriority w:val="9"/>
    <w:semiHidden/>
    <w:unhideWhenUsed/>
    <w:qFormat/>
    <w:rsid w:val="00E74A70"/>
    <w:pPr>
      <w:keepNext/>
      <w:keepLines/>
      <w:widowControl w:val="0"/>
      <w:spacing w:before="160" w:after="80"/>
      <w:jc w:val="both"/>
      <w:outlineLvl w:val="2"/>
    </w:pPr>
    <w:rPr>
      <w:rFonts w:eastAsiaTheme="majorEastAsia" w:cstheme="majorBidi"/>
      <w:color w:val="0F4761" w:themeColor="accent1" w:themeShade="BF"/>
      <w:kern w:val="2"/>
      <w:sz w:val="28"/>
      <w:szCs w:val="28"/>
      <w:lang w:val="en-US" w:eastAsia="zh-CN"/>
    </w:rPr>
  </w:style>
  <w:style w:type="paragraph" w:styleId="4">
    <w:name w:val="heading 4"/>
    <w:basedOn w:val="a"/>
    <w:next w:val="a"/>
    <w:link w:val="40"/>
    <w:uiPriority w:val="9"/>
    <w:semiHidden/>
    <w:unhideWhenUsed/>
    <w:qFormat/>
    <w:rsid w:val="00E74A70"/>
    <w:pPr>
      <w:keepNext/>
      <w:keepLines/>
      <w:widowControl w:val="0"/>
      <w:spacing w:before="80" w:after="40"/>
      <w:jc w:val="both"/>
      <w:outlineLvl w:val="3"/>
    </w:pPr>
    <w:rPr>
      <w:rFonts w:eastAsiaTheme="majorEastAsia" w:cstheme="majorBidi"/>
      <w:i/>
      <w:iCs/>
      <w:color w:val="0F4761" w:themeColor="accent1" w:themeShade="BF"/>
      <w:kern w:val="2"/>
      <w:sz w:val="24"/>
      <w:szCs w:val="24"/>
      <w:lang w:val="en-US" w:eastAsia="zh-CN"/>
    </w:rPr>
  </w:style>
  <w:style w:type="paragraph" w:styleId="5">
    <w:name w:val="heading 5"/>
    <w:basedOn w:val="a"/>
    <w:next w:val="a"/>
    <w:link w:val="50"/>
    <w:uiPriority w:val="9"/>
    <w:semiHidden/>
    <w:unhideWhenUsed/>
    <w:qFormat/>
    <w:rsid w:val="00E74A70"/>
    <w:pPr>
      <w:keepNext/>
      <w:keepLines/>
      <w:widowControl w:val="0"/>
      <w:spacing w:before="80" w:after="40"/>
      <w:jc w:val="both"/>
      <w:outlineLvl w:val="4"/>
    </w:pPr>
    <w:rPr>
      <w:rFonts w:eastAsiaTheme="majorEastAsia" w:cstheme="majorBidi"/>
      <w:color w:val="0F4761" w:themeColor="accent1" w:themeShade="BF"/>
      <w:kern w:val="2"/>
      <w:sz w:val="24"/>
      <w:szCs w:val="24"/>
      <w:lang w:val="en-US" w:eastAsia="zh-CN"/>
    </w:rPr>
  </w:style>
  <w:style w:type="paragraph" w:styleId="6">
    <w:name w:val="heading 6"/>
    <w:basedOn w:val="a"/>
    <w:next w:val="a"/>
    <w:link w:val="60"/>
    <w:uiPriority w:val="9"/>
    <w:semiHidden/>
    <w:unhideWhenUsed/>
    <w:qFormat/>
    <w:rsid w:val="00E74A70"/>
    <w:pPr>
      <w:keepNext/>
      <w:keepLines/>
      <w:widowControl w:val="0"/>
      <w:spacing w:before="40"/>
      <w:jc w:val="both"/>
      <w:outlineLvl w:val="5"/>
    </w:pPr>
    <w:rPr>
      <w:rFonts w:eastAsiaTheme="majorEastAsia" w:cstheme="majorBidi"/>
      <w:i/>
      <w:iCs/>
      <w:color w:val="595959" w:themeColor="text1" w:themeTint="A6"/>
      <w:kern w:val="2"/>
      <w:sz w:val="24"/>
      <w:szCs w:val="24"/>
      <w:lang w:val="en-US" w:eastAsia="zh-CN"/>
    </w:rPr>
  </w:style>
  <w:style w:type="paragraph" w:styleId="7">
    <w:name w:val="heading 7"/>
    <w:basedOn w:val="a"/>
    <w:next w:val="a"/>
    <w:link w:val="70"/>
    <w:uiPriority w:val="9"/>
    <w:semiHidden/>
    <w:unhideWhenUsed/>
    <w:qFormat/>
    <w:rsid w:val="00E74A70"/>
    <w:pPr>
      <w:keepNext/>
      <w:keepLines/>
      <w:widowControl w:val="0"/>
      <w:spacing w:before="40"/>
      <w:jc w:val="both"/>
      <w:outlineLvl w:val="6"/>
    </w:pPr>
    <w:rPr>
      <w:rFonts w:eastAsiaTheme="majorEastAsia" w:cstheme="majorBidi"/>
      <w:color w:val="595959" w:themeColor="text1" w:themeTint="A6"/>
      <w:kern w:val="2"/>
      <w:sz w:val="24"/>
      <w:szCs w:val="24"/>
      <w:lang w:val="en-US" w:eastAsia="zh-CN"/>
    </w:rPr>
  </w:style>
  <w:style w:type="paragraph" w:styleId="8">
    <w:name w:val="heading 8"/>
    <w:basedOn w:val="a"/>
    <w:next w:val="a"/>
    <w:link w:val="80"/>
    <w:uiPriority w:val="9"/>
    <w:semiHidden/>
    <w:unhideWhenUsed/>
    <w:qFormat/>
    <w:rsid w:val="00E74A70"/>
    <w:pPr>
      <w:keepNext/>
      <w:keepLines/>
      <w:widowControl w:val="0"/>
      <w:jc w:val="both"/>
      <w:outlineLvl w:val="7"/>
    </w:pPr>
    <w:rPr>
      <w:rFonts w:eastAsiaTheme="majorEastAsia" w:cstheme="majorBidi"/>
      <w:i/>
      <w:iCs/>
      <w:color w:val="262626" w:themeColor="text1" w:themeTint="D9"/>
      <w:kern w:val="2"/>
      <w:sz w:val="24"/>
      <w:szCs w:val="24"/>
      <w:lang w:val="en-US" w:eastAsia="zh-CN"/>
    </w:rPr>
  </w:style>
  <w:style w:type="paragraph" w:styleId="9">
    <w:name w:val="heading 9"/>
    <w:basedOn w:val="a"/>
    <w:next w:val="a"/>
    <w:link w:val="90"/>
    <w:uiPriority w:val="9"/>
    <w:semiHidden/>
    <w:unhideWhenUsed/>
    <w:qFormat/>
    <w:rsid w:val="00E74A70"/>
    <w:pPr>
      <w:keepNext/>
      <w:keepLines/>
      <w:widowControl w:val="0"/>
      <w:jc w:val="both"/>
      <w:outlineLvl w:val="8"/>
    </w:pPr>
    <w:rPr>
      <w:rFonts w:eastAsiaTheme="majorEastAsia" w:cstheme="majorBidi"/>
      <w:color w:val="262626" w:themeColor="text1" w:themeTint="D9"/>
      <w:kern w:val="2"/>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nseEmphasis1">
    <w:name w:val="Intense Emphasis1"/>
    <w:basedOn w:val="a0"/>
    <w:uiPriority w:val="21"/>
    <w:qFormat/>
    <w:rsid w:val="00E74A70"/>
    <w:rPr>
      <w:i/>
      <w:iCs/>
      <w:color w:val="0F4761" w:themeColor="accent1" w:themeShade="BF"/>
    </w:rPr>
  </w:style>
  <w:style w:type="character" w:customStyle="1" w:styleId="IntenseReference1">
    <w:name w:val="Intense Reference1"/>
    <w:basedOn w:val="a0"/>
    <w:uiPriority w:val="32"/>
    <w:qFormat/>
    <w:rsid w:val="00E74A70"/>
    <w:rPr>
      <w:b/>
      <w:bCs/>
      <w:smallCaps/>
      <w:color w:val="0F4761" w:themeColor="accent1" w:themeShade="BF"/>
      <w:spacing w:val="5"/>
    </w:rPr>
  </w:style>
  <w:style w:type="character" w:customStyle="1" w:styleId="anchor-text">
    <w:name w:val="anchor-text"/>
    <w:basedOn w:val="a0"/>
    <w:qFormat/>
    <w:rsid w:val="00E74A70"/>
  </w:style>
  <w:style w:type="character" w:customStyle="1" w:styleId="UnresolvedMention1">
    <w:name w:val="Unresolved Mention1"/>
    <w:basedOn w:val="a0"/>
    <w:uiPriority w:val="99"/>
    <w:semiHidden/>
    <w:unhideWhenUsed/>
    <w:qFormat/>
    <w:rsid w:val="00E74A70"/>
    <w:rPr>
      <w:color w:val="605E5C"/>
      <w:shd w:val="clear" w:color="auto" w:fill="E1DFDD"/>
    </w:rPr>
  </w:style>
  <w:style w:type="character" w:customStyle="1" w:styleId="10">
    <w:name w:val="标题 1 字符"/>
    <w:basedOn w:val="a0"/>
    <w:link w:val="1"/>
    <w:uiPriority w:val="9"/>
    <w:qFormat/>
    <w:rsid w:val="00E74A70"/>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qFormat/>
    <w:rsid w:val="00E74A70"/>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qFormat/>
    <w:rsid w:val="00E74A70"/>
    <w:rPr>
      <w:rFonts w:ascii="Times New Roman" w:eastAsiaTheme="majorEastAsia" w:hAnsi="Times New Roman" w:cstheme="majorBidi"/>
      <w:color w:val="0F4761" w:themeColor="accent1" w:themeShade="BF"/>
      <w:sz w:val="28"/>
      <w:szCs w:val="28"/>
    </w:rPr>
  </w:style>
  <w:style w:type="character" w:customStyle="1" w:styleId="40">
    <w:name w:val="标题 4 字符"/>
    <w:basedOn w:val="a0"/>
    <w:link w:val="4"/>
    <w:uiPriority w:val="9"/>
    <w:semiHidden/>
    <w:qFormat/>
    <w:rsid w:val="00E74A70"/>
    <w:rPr>
      <w:rFonts w:ascii="Times New Roman" w:eastAsiaTheme="majorEastAsia" w:hAnsi="Times New Roman" w:cstheme="majorBidi"/>
      <w:i/>
      <w:iCs/>
      <w:color w:val="0F4761" w:themeColor="accent1" w:themeShade="BF"/>
      <w:sz w:val="24"/>
      <w:szCs w:val="24"/>
    </w:rPr>
  </w:style>
  <w:style w:type="character" w:customStyle="1" w:styleId="50">
    <w:name w:val="标题 5 字符"/>
    <w:basedOn w:val="a0"/>
    <w:link w:val="5"/>
    <w:uiPriority w:val="9"/>
    <w:semiHidden/>
    <w:qFormat/>
    <w:rsid w:val="00E74A70"/>
    <w:rPr>
      <w:rFonts w:ascii="Times New Roman" w:eastAsiaTheme="majorEastAsia" w:hAnsi="Times New Roman" w:cstheme="majorBidi"/>
      <w:color w:val="0F4761" w:themeColor="accent1" w:themeShade="BF"/>
      <w:sz w:val="24"/>
      <w:szCs w:val="24"/>
    </w:rPr>
  </w:style>
  <w:style w:type="character" w:customStyle="1" w:styleId="60">
    <w:name w:val="标题 6 字符"/>
    <w:basedOn w:val="a0"/>
    <w:link w:val="6"/>
    <w:uiPriority w:val="9"/>
    <w:semiHidden/>
    <w:qFormat/>
    <w:rsid w:val="00E74A70"/>
    <w:rPr>
      <w:rFonts w:ascii="Times New Roman" w:eastAsiaTheme="majorEastAsia" w:hAnsi="Times New Roman" w:cstheme="majorBidi"/>
      <w:i/>
      <w:iCs/>
      <w:color w:val="595959" w:themeColor="text1" w:themeTint="A6"/>
      <w:sz w:val="24"/>
      <w:szCs w:val="24"/>
    </w:rPr>
  </w:style>
  <w:style w:type="character" w:customStyle="1" w:styleId="70">
    <w:name w:val="标题 7 字符"/>
    <w:basedOn w:val="a0"/>
    <w:link w:val="7"/>
    <w:uiPriority w:val="9"/>
    <w:semiHidden/>
    <w:qFormat/>
    <w:rsid w:val="00E74A70"/>
    <w:rPr>
      <w:rFonts w:ascii="Times New Roman" w:eastAsiaTheme="majorEastAsia" w:hAnsi="Times New Roman" w:cstheme="majorBidi"/>
      <w:color w:val="595959" w:themeColor="text1" w:themeTint="A6"/>
      <w:sz w:val="24"/>
      <w:szCs w:val="24"/>
    </w:rPr>
  </w:style>
  <w:style w:type="character" w:customStyle="1" w:styleId="80">
    <w:name w:val="标题 8 字符"/>
    <w:basedOn w:val="a0"/>
    <w:link w:val="8"/>
    <w:uiPriority w:val="9"/>
    <w:semiHidden/>
    <w:qFormat/>
    <w:rsid w:val="00E74A70"/>
    <w:rPr>
      <w:rFonts w:ascii="Times New Roman" w:eastAsiaTheme="majorEastAsia" w:hAnsi="Times New Roman" w:cstheme="majorBidi"/>
      <w:i/>
      <w:iCs/>
      <w:color w:val="262626" w:themeColor="text1" w:themeTint="D9"/>
      <w:sz w:val="24"/>
      <w:szCs w:val="24"/>
    </w:rPr>
  </w:style>
  <w:style w:type="character" w:customStyle="1" w:styleId="90">
    <w:name w:val="标题 9 字符"/>
    <w:basedOn w:val="a0"/>
    <w:link w:val="9"/>
    <w:uiPriority w:val="9"/>
    <w:semiHidden/>
    <w:qFormat/>
    <w:rsid w:val="00E74A70"/>
    <w:rPr>
      <w:rFonts w:ascii="Times New Roman" w:eastAsiaTheme="majorEastAsia" w:hAnsi="Times New Roman" w:cstheme="majorBidi"/>
      <w:color w:val="262626" w:themeColor="text1" w:themeTint="D9"/>
      <w:sz w:val="24"/>
      <w:szCs w:val="24"/>
    </w:rPr>
  </w:style>
  <w:style w:type="paragraph" w:styleId="a3">
    <w:name w:val="annotation text"/>
    <w:basedOn w:val="a"/>
    <w:link w:val="a4"/>
    <w:uiPriority w:val="99"/>
    <w:semiHidden/>
    <w:unhideWhenUsed/>
    <w:qFormat/>
    <w:rsid w:val="00E74A70"/>
    <w:pPr>
      <w:widowControl w:val="0"/>
      <w:jc w:val="both"/>
    </w:pPr>
    <w:rPr>
      <w:kern w:val="2"/>
      <w:lang w:val="en-US" w:eastAsia="zh-CN"/>
    </w:rPr>
  </w:style>
  <w:style w:type="character" w:customStyle="1" w:styleId="a4">
    <w:name w:val="批注文字 字符"/>
    <w:basedOn w:val="a0"/>
    <w:link w:val="a3"/>
    <w:uiPriority w:val="99"/>
    <w:semiHidden/>
    <w:qFormat/>
    <w:rsid w:val="00E74A70"/>
    <w:rPr>
      <w:rFonts w:ascii="Times New Roman" w:eastAsia="Times New Roman" w:hAnsi="Times New Roman" w:cs="Times New Roman"/>
    </w:rPr>
  </w:style>
  <w:style w:type="paragraph" w:styleId="a5">
    <w:name w:val="header"/>
    <w:basedOn w:val="a"/>
    <w:link w:val="a6"/>
    <w:uiPriority w:val="99"/>
    <w:unhideWhenUsed/>
    <w:qFormat/>
    <w:rsid w:val="00E74A70"/>
    <w:pPr>
      <w:widowControl w:val="0"/>
      <w:tabs>
        <w:tab w:val="center" w:pos="4680"/>
        <w:tab w:val="right" w:pos="9360"/>
      </w:tabs>
      <w:jc w:val="both"/>
    </w:pPr>
    <w:rPr>
      <w:kern w:val="2"/>
      <w:sz w:val="24"/>
      <w:szCs w:val="24"/>
      <w:lang w:val="en-US" w:eastAsia="zh-CN"/>
    </w:rPr>
  </w:style>
  <w:style w:type="character" w:customStyle="1" w:styleId="a6">
    <w:name w:val="页眉 字符"/>
    <w:basedOn w:val="a0"/>
    <w:link w:val="a5"/>
    <w:uiPriority w:val="99"/>
    <w:qFormat/>
    <w:rsid w:val="00E74A70"/>
    <w:rPr>
      <w:rFonts w:ascii="Times New Roman" w:eastAsia="Times New Roman" w:hAnsi="Times New Roman" w:cs="Times New Roman"/>
      <w:sz w:val="24"/>
      <w:szCs w:val="24"/>
    </w:rPr>
  </w:style>
  <w:style w:type="paragraph" w:styleId="a7">
    <w:name w:val="footer"/>
    <w:basedOn w:val="a"/>
    <w:link w:val="a8"/>
    <w:uiPriority w:val="99"/>
    <w:unhideWhenUsed/>
    <w:qFormat/>
    <w:rsid w:val="00E74A70"/>
    <w:pPr>
      <w:widowControl w:val="0"/>
      <w:tabs>
        <w:tab w:val="center" w:pos="4680"/>
        <w:tab w:val="right" w:pos="9360"/>
      </w:tabs>
      <w:jc w:val="both"/>
    </w:pPr>
    <w:rPr>
      <w:kern w:val="2"/>
      <w:sz w:val="24"/>
      <w:szCs w:val="24"/>
      <w:lang w:val="en-US" w:eastAsia="zh-CN"/>
    </w:rPr>
  </w:style>
  <w:style w:type="character" w:customStyle="1" w:styleId="a8">
    <w:name w:val="页脚 字符"/>
    <w:basedOn w:val="a0"/>
    <w:link w:val="a7"/>
    <w:uiPriority w:val="99"/>
    <w:qFormat/>
    <w:rsid w:val="00E74A70"/>
    <w:rPr>
      <w:rFonts w:ascii="Times New Roman" w:eastAsia="Times New Roman" w:hAnsi="Times New Roman" w:cs="Times New Roman"/>
      <w:sz w:val="24"/>
      <w:szCs w:val="24"/>
    </w:rPr>
  </w:style>
  <w:style w:type="character" w:styleId="a9">
    <w:name w:val="annotation reference"/>
    <w:basedOn w:val="a0"/>
    <w:uiPriority w:val="99"/>
    <w:semiHidden/>
    <w:unhideWhenUsed/>
    <w:qFormat/>
    <w:rsid w:val="00E74A70"/>
    <w:rPr>
      <w:sz w:val="16"/>
      <w:szCs w:val="16"/>
    </w:rPr>
  </w:style>
  <w:style w:type="character" w:styleId="aa">
    <w:name w:val="line number"/>
    <w:basedOn w:val="a0"/>
    <w:uiPriority w:val="99"/>
    <w:semiHidden/>
    <w:unhideWhenUsed/>
    <w:qFormat/>
    <w:rsid w:val="00E74A70"/>
  </w:style>
  <w:style w:type="character" w:styleId="ab">
    <w:name w:val="page number"/>
    <w:basedOn w:val="a0"/>
    <w:uiPriority w:val="99"/>
    <w:semiHidden/>
    <w:unhideWhenUsed/>
    <w:qFormat/>
    <w:rsid w:val="00E74A70"/>
  </w:style>
  <w:style w:type="paragraph" w:styleId="ac">
    <w:name w:val="Title"/>
    <w:basedOn w:val="a"/>
    <w:next w:val="a"/>
    <w:link w:val="ad"/>
    <w:uiPriority w:val="10"/>
    <w:qFormat/>
    <w:rsid w:val="00E74A70"/>
    <w:pPr>
      <w:widowControl w:val="0"/>
      <w:spacing w:after="80"/>
      <w:contextualSpacing/>
      <w:jc w:val="both"/>
    </w:pPr>
    <w:rPr>
      <w:rFonts w:asciiTheme="majorHAnsi" w:eastAsiaTheme="majorEastAsia" w:hAnsiTheme="majorHAnsi" w:cstheme="majorBidi"/>
      <w:spacing w:val="-10"/>
      <w:kern w:val="28"/>
      <w:sz w:val="56"/>
      <w:szCs w:val="56"/>
      <w:lang w:val="en-US" w:eastAsia="zh-CN"/>
    </w:rPr>
  </w:style>
  <w:style w:type="character" w:customStyle="1" w:styleId="ad">
    <w:name w:val="标题 字符"/>
    <w:basedOn w:val="a0"/>
    <w:link w:val="ac"/>
    <w:uiPriority w:val="10"/>
    <w:qFormat/>
    <w:rsid w:val="00E74A70"/>
    <w:rPr>
      <w:rFonts w:asciiTheme="majorHAnsi" w:eastAsiaTheme="majorEastAsia" w:hAnsiTheme="majorHAnsi" w:cstheme="majorBidi"/>
      <w:spacing w:val="-10"/>
      <w:kern w:val="28"/>
      <w:sz w:val="56"/>
      <w:szCs w:val="56"/>
    </w:rPr>
  </w:style>
  <w:style w:type="paragraph" w:styleId="ae">
    <w:name w:val="Subtitle"/>
    <w:basedOn w:val="a"/>
    <w:next w:val="a"/>
    <w:link w:val="af"/>
    <w:uiPriority w:val="11"/>
    <w:qFormat/>
    <w:rsid w:val="00E74A70"/>
    <w:pPr>
      <w:widowControl w:val="0"/>
      <w:jc w:val="both"/>
    </w:pPr>
    <w:rPr>
      <w:rFonts w:eastAsiaTheme="majorEastAsia" w:cstheme="majorBidi"/>
      <w:color w:val="595959" w:themeColor="text1" w:themeTint="A6"/>
      <w:spacing w:val="15"/>
      <w:kern w:val="2"/>
      <w:sz w:val="28"/>
      <w:szCs w:val="28"/>
      <w:lang w:val="en-US" w:eastAsia="zh-CN"/>
    </w:rPr>
  </w:style>
  <w:style w:type="character" w:customStyle="1" w:styleId="af">
    <w:name w:val="副标题 字符"/>
    <w:basedOn w:val="a0"/>
    <w:link w:val="ae"/>
    <w:uiPriority w:val="11"/>
    <w:qFormat/>
    <w:rsid w:val="00E74A70"/>
    <w:rPr>
      <w:rFonts w:ascii="Times New Roman" w:eastAsiaTheme="majorEastAsia" w:hAnsi="Times New Roman" w:cstheme="majorBidi"/>
      <w:color w:val="595959" w:themeColor="text1" w:themeTint="A6"/>
      <w:spacing w:val="15"/>
      <w:sz w:val="28"/>
      <w:szCs w:val="28"/>
    </w:rPr>
  </w:style>
  <w:style w:type="character" w:styleId="af0">
    <w:name w:val="Hyperlink"/>
    <w:basedOn w:val="a0"/>
    <w:uiPriority w:val="99"/>
    <w:unhideWhenUsed/>
    <w:qFormat/>
    <w:rsid w:val="00E74A70"/>
    <w:rPr>
      <w:color w:val="0000FF"/>
      <w:u w:val="single"/>
    </w:rPr>
  </w:style>
  <w:style w:type="character" w:styleId="af1">
    <w:name w:val="FollowedHyperlink"/>
    <w:basedOn w:val="a0"/>
    <w:uiPriority w:val="99"/>
    <w:semiHidden/>
    <w:unhideWhenUsed/>
    <w:qFormat/>
    <w:rsid w:val="00E74A70"/>
    <w:rPr>
      <w:color w:val="96607D" w:themeColor="followedHyperlink"/>
      <w:u w:val="single"/>
    </w:rPr>
  </w:style>
  <w:style w:type="paragraph" w:styleId="af2">
    <w:name w:val="Normal (Web)"/>
    <w:basedOn w:val="a"/>
    <w:uiPriority w:val="99"/>
    <w:unhideWhenUsed/>
    <w:qFormat/>
    <w:rsid w:val="00E74A70"/>
    <w:pPr>
      <w:widowControl w:val="0"/>
      <w:spacing w:before="100" w:beforeAutospacing="1" w:after="100" w:afterAutospacing="1"/>
      <w:jc w:val="both"/>
    </w:pPr>
    <w:rPr>
      <w:kern w:val="2"/>
      <w:sz w:val="24"/>
      <w:szCs w:val="24"/>
      <w:lang w:val="en-US" w:eastAsia="zh-CN"/>
    </w:rPr>
  </w:style>
  <w:style w:type="paragraph" w:styleId="af3">
    <w:name w:val="annotation subject"/>
    <w:basedOn w:val="a3"/>
    <w:next w:val="a3"/>
    <w:link w:val="af4"/>
    <w:uiPriority w:val="99"/>
    <w:semiHidden/>
    <w:unhideWhenUsed/>
    <w:qFormat/>
    <w:rsid w:val="00E74A70"/>
    <w:rPr>
      <w:b/>
      <w:bCs/>
    </w:rPr>
  </w:style>
  <w:style w:type="character" w:customStyle="1" w:styleId="af4">
    <w:name w:val="批注主题 字符"/>
    <w:basedOn w:val="a4"/>
    <w:link w:val="af3"/>
    <w:uiPriority w:val="99"/>
    <w:semiHidden/>
    <w:qFormat/>
    <w:rsid w:val="00E74A70"/>
    <w:rPr>
      <w:rFonts w:ascii="Times New Roman" w:eastAsia="Times New Roman" w:hAnsi="Times New Roman" w:cs="Times New Roman"/>
      <w:b/>
      <w:bCs/>
    </w:rPr>
  </w:style>
  <w:style w:type="paragraph" w:styleId="af5">
    <w:name w:val="List Paragraph"/>
    <w:basedOn w:val="a"/>
    <w:uiPriority w:val="34"/>
    <w:qFormat/>
    <w:rsid w:val="00E74A70"/>
    <w:pPr>
      <w:widowControl w:val="0"/>
      <w:ind w:left="720"/>
      <w:contextualSpacing/>
      <w:jc w:val="both"/>
    </w:pPr>
    <w:rPr>
      <w:kern w:val="2"/>
      <w:sz w:val="24"/>
      <w:szCs w:val="24"/>
      <w:lang w:val="en-US" w:eastAsia="zh-CN"/>
    </w:rPr>
  </w:style>
  <w:style w:type="paragraph" w:styleId="af6">
    <w:name w:val="Quote"/>
    <w:basedOn w:val="a"/>
    <w:next w:val="a"/>
    <w:link w:val="af7"/>
    <w:uiPriority w:val="29"/>
    <w:qFormat/>
    <w:rsid w:val="00E74A70"/>
    <w:pPr>
      <w:widowControl w:val="0"/>
      <w:spacing w:before="160"/>
      <w:jc w:val="center"/>
    </w:pPr>
    <w:rPr>
      <w:i/>
      <w:iCs/>
      <w:color w:val="404040" w:themeColor="text1" w:themeTint="BF"/>
      <w:kern w:val="2"/>
      <w:sz w:val="24"/>
      <w:szCs w:val="24"/>
      <w:lang w:val="en-US" w:eastAsia="zh-CN"/>
    </w:rPr>
  </w:style>
  <w:style w:type="character" w:customStyle="1" w:styleId="af7">
    <w:name w:val="引用 字符"/>
    <w:basedOn w:val="a0"/>
    <w:link w:val="af6"/>
    <w:uiPriority w:val="29"/>
    <w:qFormat/>
    <w:rsid w:val="00E74A70"/>
    <w:rPr>
      <w:rFonts w:ascii="Times New Roman" w:eastAsia="Times New Roman" w:hAnsi="Times New Roman" w:cs="Times New Roman"/>
      <w:i/>
      <w:iCs/>
      <w:color w:val="404040" w:themeColor="text1" w:themeTint="BF"/>
      <w:sz w:val="24"/>
      <w:szCs w:val="24"/>
    </w:rPr>
  </w:style>
  <w:style w:type="paragraph" w:styleId="af8">
    <w:name w:val="Intense Quote"/>
    <w:basedOn w:val="a"/>
    <w:next w:val="a"/>
    <w:link w:val="af9"/>
    <w:uiPriority w:val="30"/>
    <w:qFormat/>
    <w:rsid w:val="00E74A70"/>
    <w:pPr>
      <w:widowControl w:val="0"/>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lang w:val="en-US" w:eastAsia="zh-CN"/>
    </w:rPr>
  </w:style>
  <w:style w:type="character" w:customStyle="1" w:styleId="af9">
    <w:name w:val="明显引用 字符"/>
    <w:basedOn w:val="a0"/>
    <w:link w:val="af8"/>
    <w:uiPriority w:val="30"/>
    <w:qFormat/>
    <w:rsid w:val="00E74A70"/>
    <w:rPr>
      <w:rFonts w:ascii="Times New Roman" w:eastAsia="Times New Roman" w:hAnsi="Times New Roman" w:cs="Times New Roman"/>
      <w:i/>
      <w:iCs/>
      <w:color w:val="0F4761" w:themeColor="accent1" w:themeShade="BF"/>
      <w:sz w:val="24"/>
      <w:szCs w:val="24"/>
    </w:rPr>
  </w:style>
  <w:style w:type="character" w:styleId="afa">
    <w:name w:val="Intense Emphasis"/>
    <w:basedOn w:val="a0"/>
    <w:uiPriority w:val="21"/>
    <w:qFormat/>
    <w:rsid w:val="00750E83"/>
    <w:rPr>
      <w:i/>
      <w:iCs/>
      <w:color w:val="0F4761" w:themeColor="accent1" w:themeShade="BF"/>
    </w:rPr>
  </w:style>
  <w:style w:type="character" w:styleId="afb">
    <w:name w:val="Intense Reference"/>
    <w:basedOn w:val="a0"/>
    <w:uiPriority w:val="32"/>
    <w:qFormat/>
    <w:rsid w:val="00750E83"/>
    <w:rPr>
      <w:b/>
      <w:bCs/>
      <w:smallCaps/>
      <w:color w:val="0F4761" w:themeColor="accent1" w:themeShade="BF"/>
      <w:spacing w:val="5"/>
    </w:rPr>
  </w:style>
  <w:style w:type="table" w:styleId="afc">
    <w:name w:val="Table Grid"/>
    <w:basedOn w:val="a1"/>
    <w:uiPriority w:val="39"/>
    <w:rsid w:val="00750E83"/>
    <w:pPr>
      <w:widowControl/>
      <w:jc w:val="left"/>
    </w:pPr>
    <w:rPr>
      <w:rFonts w:ascii="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37EFC-AB19-4CD7-8E06-EEC595169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1588</Words>
  <Characters>9054</Characters>
  <Application>Microsoft Office Word</Application>
  <DocSecurity>0</DocSecurity>
  <Lines>75</Lines>
  <Paragraphs>21</Paragraphs>
  <ScaleCrop>false</ScaleCrop>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R</dc:creator>
  <cp:keywords/>
  <dc:description/>
  <cp:lastModifiedBy>May R</cp:lastModifiedBy>
  <cp:revision>6</cp:revision>
  <dcterms:created xsi:type="dcterms:W3CDTF">2026-10-27T09:06:00Z</dcterms:created>
  <dcterms:modified xsi:type="dcterms:W3CDTF">2026-10-27T09:15:00Z</dcterms:modified>
</cp:coreProperties>
</file>