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558A" w14:textId="77777777" w:rsidR="00C62567" w:rsidRPr="00953F59" w:rsidRDefault="00C62567" w:rsidP="00C62567">
      <w:pPr>
        <w:widowControl w:val="0"/>
        <w:adjustRightInd w:val="0"/>
        <w:snapToGrid w:val="0"/>
        <w:rPr>
          <w:sz w:val="24"/>
          <w:szCs w:val="24"/>
          <w:lang w:val="en-US"/>
        </w:rPr>
      </w:pPr>
      <w:r w:rsidRPr="00953F59">
        <w:rPr>
          <w:b/>
          <w:bCs/>
          <w:sz w:val="24"/>
          <w:szCs w:val="24"/>
          <w:lang w:val="en-US"/>
        </w:rPr>
        <w:t xml:space="preserve">Suppl 6. </w:t>
      </w:r>
      <w:r w:rsidRPr="00953F59">
        <w:rPr>
          <w:sz w:val="24"/>
          <w:szCs w:val="24"/>
          <w:lang w:val="en-US"/>
        </w:rPr>
        <w:t>Socioeconomic inequality indices for NWCO using IDF and ATP III criteria.</w:t>
      </w:r>
    </w:p>
    <w:tbl>
      <w:tblPr>
        <w:tblStyle w:val="afc"/>
        <w:tblW w:w="5000" w:type="pct"/>
        <w:tblLook w:val="04A0" w:firstRow="1" w:lastRow="0" w:firstColumn="1" w:lastColumn="0" w:noHBand="0" w:noVBand="1"/>
      </w:tblPr>
      <w:tblGrid>
        <w:gridCol w:w="3223"/>
        <w:gridCol w:w="3222"/>
        <w:gridCol w:w="3222"/>
        <w:gridCol w:w="3222"/>
      </w:tblGrid>
      <w:tr w:rsidR="00C62567" w:rsidRPr="00953F59" w14:paraId="1D9FD767" w14:textId="77777777" w:rsidTr="00FC601B">
        <w:tc>
          <w:tcPr>
            <w:tcW w:w="1250" w:type="pct"/>
          </w:tcPr>
          <w:p w14:paraId="11826288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Criterion</w:t>
            </w:r>
          </w:p>
        </w:tc>
        <w:tc>
          <w:tcPr>
            <w:tcW w:w="1250" w:type="pct"/>
          </w:tcPr>
          <w:p w14:paraId="520AB540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Indicator</w:t>
            </w:r>
          </w:p>
        </w:tc>
        <w:tc>
          <w:tcPr>
            <w:tcW w:w="1250" w:type="pct"/>
          </w:tcPr>
          <w:p w14:paraId="7FD83AC7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Estimate</w:t>
            </w:r>
          </w:p>
        </w:tc>
        <w:tc>
          <w:tcPr>
            <w:tcW w:w="1250" w:type="pct"/>
          </w:tcPr>
          <w:p w14:paraId="2553DF07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b/>
                <w:bCs/>
                <w:sz w:val="24"/>
                <w:szCs w:val="24"/>
                <w:lang w:val="en-US"/>
              </w:rPr>
            </w:pPr>
            <w:r w:rsidRPr="00953F59">
              <w:rPr>
                <w:b/>
                <w:bCs/>
                <w:sz w:val="24"/>
                <w:szCs w:val="24"/>
                <w:lang w:val="en-US"/>
              </w:rPr>
              <w:t>95% CI</w:t>
            </w:r>
          </w:p>
        </w:tc>
      </w:tr>
      <w:tr w:rsidR="00C62567" w:rsidRPr="00953F59" w14:paraId="5C88432F" w14:textId="77777777" w:rsidTr="00FC601B">
        <w:tc>
          <w:tcPr>
            <w:tcW w:w="1250" w:type="pct"/>
          </w:tcPr>
          <w:p w14:paraId="18174550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IDF</w:t>
            </w:r>
          </w:p>
        </w:tc>
        <w:tc>
          <w:tcPr>
            <w:tcW w:w="1250" w:type="pct"/>
          </w:tcPr>
          <w:p w14:paraId="4FCADF0F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SII, percentage points</w:t>
            </w:r>
          </w:p>
        </w:tc>
        <w:tc>
          <w:tcPr>
            <w:tcW w:w="1250" w:type="pct"/>
          </w:tcPr>
          <w:p w14:paraId="34DC29DA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22.68</w:t>
            </w:r>
          </w:p>
        </w:tc>
        <w:tc>
          <w:tcPr>
            <w:tcW w:w="1250" w:type="pct"/>
          </w:tcPr>
          <w:p w14:paraId="7D3E5D25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20.10–25.26</w:t>
            </w:r>
          </w:p>
        </w:tc>
      </w:tr>
      <w:tr w:rsidR="00C62567" w:rsidRPr="00953F59" w14:paraId="179D1B15" w14:textId="77777777" w:rsidTr="00FC601B">
        <w:tc>
          <w:tcPr>
            <w:tcW w:w="1250" w:type="pct"/>
          </w:tcPr>
          <w:p w14:paraId="72864DE5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IDF</w:t>
            </w:r>
          </w:p>
        </w:tc>
        <w:tc>
          <w:tcPr>
            <w:tcW w:w="1250" w:type="pct"/>
          </w:tcPr>
          <w:p w14:paraId="256732A5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RII</w:t>
            </w:r>
          </w:p>
        </w:tc>
        <w:tc>
          <w:tcPr>
            <w:tcW w:w="1250" w:type="pct"/>
          </w:tcPr>
          <w:p w14:paraId="030E9F83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1.91</w:t>
            </w:r>
          </w:p>
        </w:tc>
        <w:tc>
          <w:tcPr>
            <w:tcW w:w="1250" w:type="pct"/>
          </w:tcPr>
          <w:p w14:paraId="630A2793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1.79–2.05</w:t>
            </w:r>
          </w:p>
        </w:tc>
      </w:tr>
      <w:tr w:rsidR="00C62567" w:rsidRPr="00953F59" w14:paraId="1299641E" w14:textId="77777777" w:rsidTr="00FC601B">
        <w:tc>
          <w:tcPr>
            <w:tcW w:w="1250" w:type="pct"/>
          </w:tcPr>
          <w:p w14:paraId="0124B599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IDF</w:t>
            </w:r>
          </w:p>
        </w:tc>
        <w:tc>
          <w:tcPr>
            <w:tcW w:w="1250" w:type="pct"/>
          </w:tcPr>
          <w:p w14:paraId="78574E33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Concentration index</w:t>
            </w:r>
          </w:p>
        </w:tc>
        <w:tc>
          <w:tcPr>
            <w:tcW w:w="1250" w:type="pct"/>
          </w:tcPr>
          <w:p w14:paraId="485FED65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0.100</w:t>
            </w:r>
          </w:p>
        </w:tc>
        <w:tc>
          <w:tcPr>
            <w:tcW w:w="1250" w:type="pct"/>
          </w:tcPr>
          <w:p w14:paraId="23230C3E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—</w:t>
            </w:r>
          </w:p>
        </w:tc>
      </w:tr>
      <w:tr w:rsidR="00C62567" w:rsidRPr="00953F59" w14:paraId="0D5C6F53" w14:textId="77777777" w:rsidTr="00FC601B">
        <w:tc>
          <w:tcPr>
            <w:tcW w:w="1250" w:type="pct"/>
          </w:tcPr>
          <w:p w14:paraId="21A29237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ATP III</w:t>
            </w:r>
          </w:p>
        </w:tc>
        <w:tc>
          <w:tcPr>
            <w:tcW w:w="1250" w:type="pct"/>
          </w:tcPr>
          <w:p w14:paraId="74D00E1C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SII, percentage points</w:t>
            </w:r>
          </w:p>
        </w:tc>
        <w:tc>
          <w:tcPr>
            <w:tcW w:w="1250" w:type="pct"/>
          </w:tcPr>
          <w:p w14:paraId="6CBA48F9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7.68</w:t>
            </w:r>
          </w:p>
        </w:tc>
        <w:tc>
          <w:tcPr>
            <w:tcW w:w="1250" w:type="pct"/>
          </w:tcPr>
          <w:p w14:paraId="418E5B96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6.15–9.22</w:t>
            </w:r>
          </w:p>
        </w:tc>
      </w:tr>
      <w:tr w:rsidR="00C62567" w:rsidRPr="00953F59" w14:paraId="6D8627B9" w14:textId="77777777" w:rsidTr="00FC601B">
        <w:tc>
          <w:tcPr>
            <w:tcW w:w="1250" w:type="pct"/>
          </w:tcPr>
          <w:p w14:paraId="2E2770DC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ATP III</w:t>
            </w:r>
          </w:p>
        </w:tc>
        <w:tc>
          <w:tcPr>
            <w:tcW w:w="1250" w:type="pct"/>
          </w:tcPr>
          <w:p w14:paraId="3A217A1E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RII</w:t>
            </w:r>
          </w:p>
        </w:tc>
        <w:tc>
          <w:tcPr>
            <w:tcW w:w="1250" w:type="pct"/>
          </w:tcPr>
          <w:p w14:paraId="3156B4B4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2.64</w:t>
            </w:r>
          </w:p>
        </w:tc>
        <w:tc>
          <w:tcPr>
            <w:tcW w:w="1250" w:type="pct"/>
          </w:tcPr>
          <w:p w14:paraId="665F3521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2.22–3.14</w:t>
            </w:r>
          </w:p>
        </w:tc>
      </w:tr>
      <w:tr w:rsidR="00C62567" w:rsidRPr="00953F59" w14:paraId="4AADA8E3" w14:textId="77777777" w:rsidTr="00FC601B">
        <w:tc>
          <w:tcPr>
            <w:tcW w:w="1250" w:type="pct"/>
          </w:tcPr>
          <w:p w14:paraId="4EAEE442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ATP III</w:t>
            </w:r>
          </w:p>
        </w:tc>
        <w:tc>
          <w:tcPr>
            <w:tcW w:w="1250" w:type="pct"/>
          </w:tcPr>
          <w:p w14:paraId="2677A227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Concentration index</w:t>
            </w:r>
          </w:p>
        </w:tc>
        <w:tc>
          <w:tcPr>
            <w:tcW w:w="1250" w:type="pct"/>
          </w:tcPr>
          <w:p w14:paraId="56947467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0.154</w:t>
            </w:r>
          </w:p>
        </w:tc>
        <w:tc>
          <w:tcPr>
            <w:tcW w:w="1250" w:type="pct"/>
          </w:tcPr>
          <w:p w14:paraId="18428324" w14:textId="77777777" w:rsidR="00C62567" w:rsidRPr="00953F59" w:rsidRDefault="00C62567" w:rsidP="00FC601B">
            <w:pPr>
              <w:widowControl w:val="0"/>
              <w:adjustRightInd w:val="0"/>
              <w:snapToGrid w:val="0"/>
              <w:rPr>
                <w:sz w:val="24"/>
                <w:szCs w:val="24"/>
                <w:lang w:val="en-US"/>
              </w:rPr>
            </w:pPr>
            <w:r w:rsidRPr="00953F59">
              <w:rPr>
                <w:sz w:val="24"/>
                <w:szCs w:val="24"/>
                <w:lang w:val="en-US"/>
              </w:rPr>
              <w:t>—</w:t>
            </w:r>
          </w:p>
        </w:tc>
      </w:tr>
    </w:tbl>
    <w:p w14:paraId="0334D7C6" w14:textId="77777777" w:rsidR="00C62567" w:rsidRPr="00953F59" w:rsidRDefault="00C62567" w:rsidP="00C62567">
      <w:pPr>
        <w:widowControl w:val="0"/>
        <w:adjustRightInd w:val="0"/>
        <w:snapToGrid w:val="0"/>
        <w:rPr>
          <w:sz w:val="24"/>
          <w:szCs w:val="24"/>
          <w:lang w:val="en-US"/>
        </w:rPr>
      </w:pPr>
    </w:p>
    <w:p w14:paraId="1D466919" w14:textId="77777777" w:rsidR="00C62567" w:rsidRPr="00953F59" w:rsidRDefault="00C62567" w:rsidP="00C62567">
      <w:pPr>
        <w:rPr>
          <w:lang w:val="en-US"/>
        </w:rPr>
      </w:pPr>
    </w:p>
    <w:p w14:paraId="5E8A3F91" w14:textId="77777777" w:rsidR="009E48E0" w:rsidRDefault="009E48E0"/>
    <w:sectPr w:rsidR="009E48E0" w:rsidSect="00C62567">
      <w:pgSz w:w="16838" w:h="11906" w:orient="landscape"/>
      <w:pgMar w:top="1701" w:right="1954" w:bottom="1701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67"/>
    <w:rsid w:val="00164869"/>
    <w:rsid w:val="001F36C2"/>
    <w:rsid w:val="004947C7"/>
    <w:rsid w:val="00531D51"/>
    <w:rsid w:val="008A4D24"/>
    <w:rsid w:val="00922E90"/>
    <w:rsid w:val="009E48E0"/>
    <w:rsid w:val="00A6288E"/>
    <w:rsid w:val="00C62567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B612A"/>
  <w15:chartTrackingRefBased/>
  <w15:docId w15:val="{9A20E3B0-B5C1-40B2-9F6B-4E93E4E1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567"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  <w:lang w:val="es-PE" w:eastAsia="es-PE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kern w:val="2"/>
      <w:lang w:val="en-US"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kern w:val="2"/>
      <w:sz w:val="24"/>
      <w:szCs w:val="24"/>
      <w:lang w:val="en-US"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kern w:val="2"/>
      <w:sz w:val="24"/>
      <w:szCs w:val="24"/>
      <w:lang w:val="en-US"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:lang w:val="en-US"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C62567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C62567"/>
    <w:rPr>
      <w:b/>
      <w:bCs/>
      <w:smallCaps/>
      <w:color w:val="0F4761" w:themeColor="accent1" w:themeShade="BF"/>
      <w:spacing w:val="5"/>
    </w:rPr>
  </w:style>
  <w:style w:type="table" w:styleId="afc">
    <w:name w:val="Table Grid"/>
    <w:basedOn w:val="a1"/>
    <w:uiPriority w:val="39"/>
    <w:rsid w:val="00C62567"/>
    <w:pPr>
      <w:widowControl/>
      <w:jc w:val="left"/>
    </w:pPr>
    <w:rPr>
      <w:rFonts w:ascii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2026-10-27T09:12:00Z</dcterms:created>
  <dcterms:modified xsi:type="dcterms:W3CDTF">2026-10-27T09:12:00Z</dcterms:modified>
</cp:coreProperties>
</file>